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92264A" w:rsidRDefault="00000000">
      <w:pPr>
        <w:pStyle w:val="Heading1"/>
      </w:pPr>
      <w:bookmarkStart w:id="0" w:name="X5402862c7b6382451d5939fd06a9d95408b7c3f"/>
      <w:r>
        <w:t>Quantifying Multi-Signal Quorum Sensing Defines the Mapping from Environment to Bacterial Regulatory Responses</w:t>
      </w:r>
    </w:p>
    <w:p w:rsidR="0092264A" w:rsidRDefault="00000000">
      <w:pPr>
        <w:pStyle w:val="FirstParagraph"/>
      </w:pPr>
      <w:r>
        <w:t>Stephen Thomas</w:t>
      </w:r>
      <w:r>
        <w:rPr>
          <w:vertAlign w:val="superscript"/>
        </w:rPr>
        <w:t>1</w:t>
      </w:r>
      <w:r>
        <w:t>, Ayatollah S. El-Zayat</w:t>
      </w:r>
      <w:r>
        <w:rPr>
          <w:vertAlign w:val="superscript"/>
        </w:rPr>
        <w:t>2</w:t>
      </w:r>
      <w:r>
        <w:t>, James Gurney</w:t>
      </w:r>
      <w:r>
        <w:rPr>
          <w:vertAlign w:val="superscript"/>
        </w:rPr>
        <w:t>3</w:t>
      </w:r>
      <w:r>
        <w:t>, Jennifer Rattray</w:t>
      </w:r>
      <w:r>
        <w:rPr>
          <w:vertAlign w:val="superscript"/>
        </w:rPr>
        <w:t>1,4</w:t>
      </w:r>
      <w:r>
        <w:t>, Sam P. Brown</w:t>
      </w:r>
      <w:r>
        <w:rPr>
          <w:vertAlign w:val="superscript"/>
        </w:rPr>
        <w:t>1</w:t>
      </w:r>
    </w:p>
    <w:p w:rsidR="0092264A" w:rsidRDefault="00000000">
      <w:pPr>
        <w:pStyle w:val="Compact"/>
        <w:numPr>
          <w:ilvl w:val="0"/>
          <w:numId w:val="3"/>
        </w:numPr>
      </w:pPr>
      <w:r>
        <w:t>School of Biological Sciences, Georgia Institute of Technology, Atlanta, GA USA 30332.</w:t>
      </w:r>
    </w:p>
    <w:p w:rsidR="0092264A" w:rsidRDefault="00000000">
      <w:pPr>
        <w:pStyle w:val="Compact"/>
        <w:numPr>
          <w:ilvl w:val="0"/>
          <w:numId w:val="3"/>
        </w:numPr>
      </w:pPr>
      <w:r>
        <w:t>Department of Microbiology, Faculty of Agriculture, Cairo University, Giza 12613, Egypt.</w:t>
      </w:r>
    </w:p>
    <w:p w:rsidR="0092264A" w:rsidRDefault="00000000">
      <w:pPr>
        <w:pStyle w:val="Compact"/>
        <w:numPr>
          <w:ilvl w:val="0"/>
          <w:numId w:val="3"/>
        </w:numPr>
      </w:pPr>
      <w:r>
        <w:t>Department of Biology, College of Arts and Sciences, Georgia State University, Atlanta, GA USA 30303.</w:t>
      </w:r>
    </w:p>
    <w:p w:rsidR="0092264A" w:rsidRDefault="00000000">
      <w:pPr>
        <w:pStyle w:val="Compact"/>
        <w:numPr>
          <w:ilvl w:val="0"/>
          <w:numId w:val="3"/>
        </w:numPr>
      </w:pPr>
      <w:r>
        <w:t>Present address: Sandia National Laboratories, Albuquerque, NM, USA.</w:t>
      </w:r>
    </w:p>
    <w:p w:rsidR="0092264A"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are considered hierarchical, with the </w:t>
      </w:r>
      <w:r>
        <w:rPr>
          <w:i/>
          <w:iCs/>
        </w:rPr>
        <w:t>las</w:t>
      </w:r>
      <w:r>
        <w:t xml:space="preserve"> system acting as a master regulator. By experimentally controlling the concentration of auto-inducer signals in a signal deficient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in a reciprocal manner, but they do so asymmetrically, cooperatively, and nonlinearly, with the combination of C</w:t>
      </w:r>
      <w:r>
        <w:rPr>
          <w:vertAlign w:val="subscript"/>
        </w:rPr>
        <w:t>4</w:t>
      </w:r>
      <w:r>
        <w:t>‑HSL and 3‑oxo‑C</w:t>
      </w:r>
      <w:r>
        <w:rPr>
          <w:vertAlign w:val="subscript"/>
        </w:rPr>
        <w:t>12</w:t>
      </w:r>
      <w:r>
        <w:t>‑HSL increasing expression level far more than the sum of their individual effects. We next extend our parameterized mathematical model to generate quantitative predictions on how a QS-controlled effector gene (</w:t>
      </w:r>
      <w:r>
        <w:rPr>
          <w:i/>
          <w:iCs/>
        </w:rPr>
        <w:t>lasB</w:t>
      </w:r>
      <w:r>
        <w:t>) responds to changes in bacterial stationary phase density, and find close quantitative agreement with an independent dataset. Finally, we use our parameterized model to assess how changes in multi-signal interactions modulate functional responses to variation in social (population density) and physical (mass transfer) environment and demonstrate that a reciprocal architecture is more responsive to density and more robust to mass transfer than a strict hierarchy.</w:t>
      </w:r>
    </w:p>
    <w:p w:rsidR="0092264A" w:rsidRDefault="00000000">
      <w:pPr>
        <w:pStyle w:val="Heading3"/>
      </w:pPr>
      <w:bookmarkStart w:id="1" w:name="significance-statement"/>
      <w:r>
        <w:t>Significance Statement</w:t>
      </w:r>
    </w:p>
    <w:p w:rsidR="0092264A" w:rsidRDefault="00000000">
      <w:pPr>
        <w:pStyle w:val="FirstParagraph"/>
      </w:pPr>
      <w:r>
        <w:t xml:space="preserve">Bacteria often sense and respond to their environment via </w:t>
      </w:r>
      <w:r>
        <w:rPr>
          <w:i/>
          <w:iCs/>
        </w:rPr>
        <w:t>quorum sensing.</w:t>
      </w:r>
      <w:r>
        <w:t xml:space="preserve"> While we understand the core components of signal production and response in great molecular detail, we face a fundamental gap in our understanding of how these components combine to quantitatively map environmental properties onto behavioral responses. To address this gap, we develop a dynamical-systems approach, using controlled experimental data to parameterize and test a mathematical model of multi-signal QS, using </w:t>
      </w:r>
      <w:r>
        <w:rPr>
          <w:i/>
          <w:iCs/>
        </w:rPr>
        <w:t>Pseudomonas aeruginosa</w:t>
      </w:r>
      <w:r>
        <w:t xml:space="preserve"> as a model system. Our approach provides a general and flexible methodology to quantify the multi-signal “wiring diagrams” of QS bacteria and functionally link these wiring diagrams to QS-controlled responses to environmental variation.</w:t>
      </w:r>
    </w:p>
    <w:p w:rsidR="0092264A" w:rsidRDefault="00000000">
      <w:pPr>
        <w:pStyle w:val="Heading2"/>
      </w:pPr>
      <w:bookmarkStart w:id="2" w:name="introduction"/>
      <w:bookmarkEnd w:id="1"/>
      <w:r>
        <w:lastRenderedPageBreak/>
        <w:t>Introduction</w:t>
      </w:r>
    </w:p>
    <w:p w:rsidR="0092264A" w:rsidRDefault="00000000">
      <w:pPr>
        <w:pStyle w:val="FirstParagraph"/>
      </w:pPr>
      <w:r>
        <w:t xml:space="preserve">WIthin many bacterial species, cells communicate with each other by exchanging diffusible signal molecules (1, 2). This mechanism, known as quorum sensing (QS), has been well-studied at the level of specific molecular interactions. We now understand how those molecular interactions shape the creation of and response to signal molecules in model organisms such as </w:t>
      </w:r>
      <w:r>
        <w:rPr>
          <w:i/>
          <w:iCs/>
        </w:rPr>
        <w:t>Pseudomonas aeruginosa</w:t>
      </w:r>
      <w:r>
        <w:t xml:space="preserve"> (3). We have identified downstream effector genes such as virulence factors whose production depends on QS signals (4, 5), and we have recognized that many species possess multiple QS circuits (1). Despite this knowledge, we face gaps in our understanding of how quorum sensing influences bacterial behavior. How does QS quantitatively guide bacterial actions in response to defined environmental conditions? What benefits do multiple QS circuits provide? And ultimately, how does QS contribute to bacterial fitness? Answering these questions requires an understanding of quorum sensing at the dynamical systems level as well as the molecular level.</w:t>
      </w:r>
    </w:p>
    <w:p w:rsidR="0092264A" w:rsidRDefault="00000000">
      <w:pPr>
        <w:pStyle w:val="BodyText"/>
      </w:pPr>
      <w:r>
        <w:t xml:space="preserve">Quorum sensing relies on several components interacting in a dynamical system (6, 7). Individual cells synthesize small molecules called signals or inducers. These diffuse or are actively transported between the intracellular and extracellular environments (8). Within cells, signal molecules bind to receptor proteins that serve as transcription factors (9). As signal concentration grows, genes activated by these transcription factors trigger a change in the cell's behavior (10).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(11, 12). The </w:t>
      </w:r>
      <w:r>
        <w:rPr>
          <w:i/>
          <w:iCs/>
        </w:rPr>
        <w:t>las</w:t>
      </w:r>
      <w:r>
        <w:t xml:space="preserve"> system includes the LasI signal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(13) estimate that these two systems control expression of as much as 10% of the bacterial genome.</w:t>
      </w:r>
    </w:p>
    <w:p w:rsidR="0092264A"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the one system’s synthase or receptor respond to the concentration of another systems signal? We classify possible multi-system architectures into three broad patterns shown in Figure 1. </w:t>
      </w:r>
      <w:r>
        <w:rPr>
          <w:i/>
          <w:iCs/>
        </w:rPr>
        <w:t>Independent systems</w:t>
      </w:r>
      <w:r>
        <w:t xml:space="preserve"> (Figure 1A) have no influence on each other; </w:t>
      </w:r>
      <w:r>
        <w:rPr>
          <w:i/>
          <w:iCs/>
        </w:rPr>
        <w:t>hierarchical systems</w:t>
      </w:r>
      <w:r>
        <w:t xml:space="preserve"> (Figure 1B) have a relationship but only in one direction, and </w:t>
      </w:r>
      <w:r>
        <w:rPr>
          <w:i/>
          <w:iCs/>
        </w:rPr>
        <w:t>reciprocal systems</w:t>
      </w:r>
      <w:r>
        <w:t xml:space="preserve"> (Figure 1C) each exert influence on the other. At this level we do not consider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w:t>
      </w:r>
    </w:p>
    <w:p w:rsidR="0092264A" w:rsidRDefault="00000000">
      <w:pPr>
        <w:pStyle w:val="CaptionedFigure"/>
      </w:pPr>
      <w:bookmarkStart w:id="3" w:name="fig:architectures"/>
      <w:r>
        <w:rPr>
          <w:noProof/>
        </w:rPr>
        <w:lastRenderedPageBreak/>
        <w:drawing>
          <wp:inline distT="0" distB="0" distL="0" distR="0">
            <wp:extent cx="5238750" cy="3810000"/>
            <wp:effectExtent l="0" t="0" r="0" b="0"/>
            <wp:docPr id="22" name="Picture" descr="Figure 1: architectures"/>
            <wp:cNvGraphicFramePr/>
            <a:graphic xmlns:a="http://schemas.openxmlformats.org/drawingml/2006/main">
              <a:graphicData uri="http://schemas.openxmlformats.org/drawingml/2006/picture">
                <pic:pic xmlns:pic="http://schemas.openxmlformats.org/drawingml/2006/picture">
                  <pic:nvPicPr>
                    <pic:cNvPr id="23" name="Picture" descr="Figures/fig1_architectures.svg"/>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5238750" cy="3810000"/>
                    </a:xfrm>
                    <a:prstGeom prst="rect">
                      <a:avLst/>
                    </a:prstGeom>
                    <a:noFill/>
                    <a:ln w="9525">
                      <a:noFill/>
                      <a:headEnd/>
                      <a:tailEnd/>
                    </a:ln>
                  </pic:spPr>
                </pic:pic>
              </a:graphicData>
            </a:graphic>
          </wp:inline>
        </w:drawing>
      </w:r>
    </w:p>
    <w:bookmarkEnd w:id="3"/>
    <w:p w:rsidR="0092264A" w:rsidRDefault="00000000">
      <w:pPr>
        <w:pStyle w:val="ImageCaption"/>
      </w:pPr>
      <w:r>
        <w:rPr>
          <w:b/>
          <w:bCs/>
        </w:rPr>
        <w:t xml:space="preserve">Figure 1. The </w:t>
      </w:r>
      <w:r>
        <w:rPr>
          <w:b/>
          <w:bCs/>
          <w:iCs/>
        </w:rPr>
        <w:t>P. aeruginosa</w:t>
      </w:r>
      <w:r>
        <w:rPr>
          <w:b/>
          <w:bCs/>
        </w:rPr>
        <w:t xml:space="preserve"> QS regulatory network is typically viewed as a hierarchy with the </w:t>
      </w:r>
      <w:r>
        <w:rPr>
          <w:b/>
          <w:bCs/>
          <w:iCs/>
        </w:rPr>
        <w:t>las</w:t>
      </w:r>
      <w:r>
        <w:rPr>
          <w:b/>
          <w:bCs/>
        </w:rPr>
        <w:t xml:space="preserve"> system on top.</w:t>
      </w:r>
      <w:r>
        <w:t xml:space="preserve"> In general, the regulatory network of two QS systems may be organized in three architectures: (A) Independent, in which the signal of each has no influence on the expression of synthase or receptor in the other. (B) Hierarchical, where one system’s signal influences expression of the other’s components but without reciprocation. And (C) reciprocal, where both systems’ signals influence the others’ components. The consensus of the review literature for </w:t>
      </w:r>
      <w:r>
        <w:rPr>
          <w:iCs/>
        </w:rPr>
        <w:t>P. aeruginosa</w:t>
      </w:r>
      <w:r>
        <w:t xml:space="preserve"> (D) as summarized in 17 review papers published since 1996 (Tables S.1 and S.2), suggests a hierarchical architecture for the </w:t>
      </w:r>
      <w:r>
        <w:rPr>
          <w:iCs/>
        </w:rPr>
        <w:t>las</w:t>
      </w:r>
      <w:r>
        <w:t xml:space="preserve"> and </w:t>
      </w:r>
      <w:r>
        <w:rPr>
          <w:iCs/>
        </w:rPr>
        <w:t>rhl</w:t>
      </w:r>
      <w:r>
        <w:t xml:space="preserve"> systems. All papers show the </w:t>
      </w:r>
      <w:r>
        <w:rPr>
          <w:iCs/>
        </w:rPr>
        <w:t>las</w:t>
      </w:r>
      <w:r>
        <w:t xml:space="preserve"> system affecting the </w:t>
      </w:r>
      <w:r>
        <w:rPr>
          <w:iCs/>
        </w:rPr>
        <w:t>rhl</w:t>
      </w:r>
      <w:r>
        <w:t xml:space="preserve"> system, but none identify a </w:t>
      </w:r>
      <w:r>
        <w:rPr>
          <w:iCs/>
        </w:rPr>
        <w:t>las</w:t>
      </w:r>
      <w:r>
        <w:t xml:space="preserve"> synthase or receptor gene as a target of the </w:t>
      </w:r>
      <w:r>
        <w:rPr>
          <w:iCs/>
        </w:rPr>
        <w:t>rhl</w:t>
      </w:r>
      <w:r>
        <w:t xml:space="preserve"> system.</w:t>
      </w:r>
    </w:p>
    <w:p w:rsidR="0092264A" w:rsidRDefault="00000000">
      <w:pPr>
        <w:pStyle w:val="BodyText"/>
      </w:pPr>
      <w:r>
        <w:t xml:space="preserve">In the case of </w:t>
      </w:r>
      <w:r>
        <w:rPr>
          <w:i/>
          <w:iCs/>
        </w:rPr>
        <w:t>las</w:t>
      </w:r>
      <w:r>
        <w:t xml:space="preserve"> and </w:t>
      </w:r>
      <w:r>
        <w:rPr>
          <w:i/>
          <w:iCs/>
        </w:rPr>
        <w:t>rhl,</w:t>
      </w:r>
      <w:r>
        <w:t xml:space="preserve"> independent, isolated operation was eliminated as early as 1996 when Latifi et al. (14)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master QS system controlling both its own activation and that of the </w:t>
      </w:r>
      <w:r>
        <w:rPr>
          <w:i/>
          <w:iCs/>
        </w:rPr>
        <w:t>rhl</w:t>
      </w:r>
      <w:r>
        <w:t xml:space="preserve"> system (Figure 1D). We confirm this consensus perspective via a structured literature review of review articles (Tables S.1 and S.2). While the review literature is silent on whether the </w:t>
      </w:r>
      <w:r>
        <w:rPr>
          <w:i/>
          <w:iCs/>
        </w:rPr>
        <w:t>rhl</w:t>
      </w:r>
      <w:r>
        <w:t xml:space="preserve"> signal C</w:t>
      </w:r>
      <w:r>
        <w:rPr>
          <w:vertAlign w:val="subscript"/>
        </w:rPr>
        <w:t>4</w:t>
      </w:r>
      <w:r>
        <w:t xml:space="preserve">‑HSL can influence the expression of the </w:t>
      </w:r>
      <w:r>
        <w:rPr>
          <w:i/>
          <w:iCs/>
        </w:rPr>
        <w:t>las</w:t>
      </w:r>
      <w:r>
        <w:t xml:space="preserve"> synthase or receptor, several studies demonstrate that the </w:t>
      </w:r>
      <w:r>
        <w:rPr>
          <w:i/>
          <w:iCs/>
        </w:rPr>
        <w:t>rhl</w:t>
      </w:r>
      <w:r>
        <w:t xml:space="preserve"> system can activate even when the “top of the hierarchy” </w:t>
      </w:r>
      <w:r>
        <w:rPr>
          <w:i/>
          <w:iCs/>
        </w:rPr>
        <w:t>lasR</w:t>
      </w:r>
      <w:r>
        <w:t xml:space="preserve"> gene is deleted (15, 16), indicating limitations of the simple hiearchy model. If </w:t>
      </w:r>
      <w:r>
        <w:rPr>
          <w:i/>
          <w:iCs/>
        </w:rPr>
        <w:t>lasI</w:t>
      </w:r>
      <w:r>
        <w:t xml:space="preserve"> or </w:t>
      </w:r>
      <w:r>
        <w:rPr>
          <w:i/>
          <w:iCs/>
        </w:rPr>
        <w:t>lasR</w:t>
      </w:r>
      <w:r>
        <w:t xml:space="preserve"> respond to the </w:t>
      </w:r>
      <w:r>
        <w:rPr>
          <w:i/>
          <w:iCs/>
        </w:rPr>
        <w:t>rhl</w:t>
      </w:r>
      <w:r>
        <w:t xml:space="preserve"> signal, then the strict hierarchical view may be missing an important factor that determines the overall system response.</w:t>
      </w:r>
    </w:p>
    <w:p w:rsidR="0092264A" w:rsidRDefault="00000000">
      <w:pPr>
        <w:pStyle w:val="BodyText"/>
      </w:pPr>
      <w:r>
        <w:lastRenderedPageBreak/>
        <w:t xml:space="preserve">Our experiments explicitly examine the influence of both QS systems on each other, and the resulting data reveal three key results. First, the traditional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substantially influences the </w:t>
      </w:r>
      <w:r>
        <w:rPr>
          <w:i/>
          <w:iCs/>
        </w:rPr>
        <w:t>las</w:t>
      </w:r>
      <w:r>
        <w:t xml:space="preserve"> system, specifically expression of </w:t>
      </w:r>
      <w:r>
        <w:rPr>
          <w:i/>
          <w:iCs/>
        </w:rPr>
        <w:t>lasI.</w:t>
      </w:r>
      <w:r>
        <w:t xml:space="preserve"> Second, we use our data to parameterize a new mathematical model of multi-signal regulatory dynamics, producing quantitative estimates on how signal modules influence each other, and the expression of downstream effector genes. Finally, we embed our multi-signal model in an explicit environmental context, to produce quantitative predictions on how QS-controlled behaviors change with changing physical and social conditions. Specifically, we show that, compared to a strict hierarchy, the reciprocity we observe provides more sensitivity to population density and more robustness to interfering physical environmental variation.</w:t>
      </w:r>
    </w:p>
    <w:p w:rsidR="0092264A" w:rsidRDefault="00000000">
      <w:pPr>
        <w:pStyle w:val="Heading2"/>
      </w:pPr>
      <w:bookmarkStart w:id="4" w:name="results"/>
      <w:bookmarkEnd w:id="2"/>
      <w:r>
        <w:t>Results</w:t>
      </w:r>
    </w:p>
    <w:p w:rsidR="0092264A" w:rsidRDefault="00000000">
      <w:pPr>
        <w:pStyle w:val="FirstParagraph"/>
      </w:pPr>
      <w:r>
        <w:t xml:space="preserve">To uncover interactions between the </w:t>
      </w:r>
      <w:r>
        <w:rPr>
          <w:i/>
          <w:iCs/>
        </w:rPr>
        <w:t>las</w:t>
      </w:r>
      <w:r>
        <w:t xml:space="preserve"> and </w:t>
      </w:r>
      <w:r>
        <w:rPr>
          <w:i/>
          <w:iCs/>
        </w:rPr>
        <w:t>rhl</w:t>
      </w:r>
      <w:r>
        <w:t xml:space="preserve"> systems, we experimentally assess QS gene expression in an AHL null strain (PAO1Δ</w:t>
      </w:r>
      <w:r>
        <w:rPr>
          <w:i/>
          <w:iCs/>
        </w:rPr>
        <w:t>lasI</w:t>
      </w:r>
      <w:r>
        <w:t>Δ</w:t>
      </w:r>
      <w:r>
        <w:rPr>
          <w:i/>
          <w:iCs/>
        </w:rPr>
        <w:t>rhlI</w:t>
      </w:r>
      <w:r>
        <w:t>) exposed to defined, exogenous 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We use bioluminescence (lux)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w:t>
      </w:r>
    </w:p>
    <w:p w:rsidR="0092264A" w:rsidRDefault="00000000">
      <w:pPr>
        <w:pStyle w:val="Heading3"/>
      </w:pPr>
      <w:bookmarkStart w:id="5" w:name="Xce1e0bc34c00202e5dbfd173496101a8b98a6fe"/>
      <w:r>
        <w:t xml:space="preserve">The </w:t>
      </w:r>
      <w:r>
        <w:rPr>
          <w:i/>
          <w:iCs/>
        </w:rPr>
        <w:t>las</w:t>
      </w:r>
      <w:r>
        <w:t xml:space="preserve"> and </w:t>
      </w:r>
      <w:r>
        <w:rPr>
          <w:i/>
          <w:iCs/>
        </w:rPr>
        <w:t>rhl</w:t>
      </w:r>
      <w:r>
        <w:t xml:space="preserve"> Systems Interact Reciprocally</w:t>
      </w:r>
    </w:p>
    <w:p w:rsidR="0092264A"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The ratio of luminescence with signal to luminescence with no signal represents the fold-change in expression induced by the defined signal concentration. Figure 2A,D shows the results for 3‑oxo‑C</w:t>
      </w:r>
      <w:r>
        <w:rPr>
          <w:vertAlign w:val="subscript"/>
        </w:rPr>
        <w:t>12</w:t>
      </w:r>
      <w:r>
        <w:t xml:space="preserve">‑HSL. As expected, expression of both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rsidR="0092264A" w:rsidRDefault="00000000">
      <w:pPr>
        <w:pStyle w:val="CaptionedFigure"/>
      </w:pPr>
      <w:bookmarkStart w:id="6" w:name="fig:observations"/>
      <w:r>
        <w:rPr>
          <w:noProof/>
        </w:rPr>
        <w:lastRenderedPageBreak/>
        <w:drawing>
          <wp:inline distT="0" distB="0" distL="0" distR="0">
            <wp:extent cx="5238750" cy="3619500"/>
            <wp:effectExtent l="0" t="0" r="0" b="0"/>
            <wp:docPr id="28" name="Picture" descr="Figure 2: observations"/>
            <wp:cNvGraphicFramePr/>
            <a:graphic xmlns:a="http://schemas.openxmlformats.org/drawingml/2006/main">
              <a:graphicData uri="http://schemas.openxmlformats.org/drawingml/2006/picture">
                <pic:pic xmlns:pic="http://schemas.openxmlformats.org/drawingml/2006/picture">
                  <pic:nvPicPr>
                    <pic:cNvPr id="29" name="Picture" descr="Figures/fig2_observations.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3619500"/>
                    </a:xfrm>
                    <a:prstGeom prst="rect">
                      <a:avLst/>
                    </a:prstGeom>
                    <a:noFill/>
                    <a:ln w="9525">
                      <a:noFill/>
                      <a:headEnd/>
                      <a:tailEnd/>
                    </a:ln>
                  </pic:spPr>
                </pic:pic>
              </a:graphicData>
            </a:graphic>
          </wp:inline>
        </w:drawing>
      </w:r>
    </w:p>
    <w:bookmarkEnd w:id="6"/>
    <w:p w:rsidR="0092264A" w:rsidRDefault="00000000">
      <w:pPr>
        <w:pStyle w:val="Caption"/>
      </w:pPr>
      <w:r>
        <w:rPr>
          <w:b/>
          <w:bCs/>
        </w:rPr>
        <w:t xml:space="preserve">Figure 2. Both the </w:t>
      </w:r>
      <w:r>
        <w:rPr>
          <w:b/>
          <w:bCs/>
          <w:iCs/>
        </w:rPr>
        <w:t>las</w:t>
      </w:r>
      <w:r>
        <w:rPr>
          <w:b/>
          <w:bCs/>
        </w:rPr>
        <w:t xml:space="preserve"> signal 3‑oxo‑C</w:t>
      </w:r>
      <w:r>
        <w:rPr>
          <w:b/>
          <w:bCs/>
          <w:vertAlign w:val="subscript"/>
        </w:rPr>
        <w:t>12</w:t>
      </w:r>
      <w:r>
        <w:rPr>
          <w:b/>
          <w:bCs/>
        </w:rPr>
        <w:t xml:space="preserve">‑HSL and the </w:t>
      </w:r>
      <w:r>
        <w:rPr>
          <w:b/>
          <w:bCs/>
          <w:iCs/>
        </w:rPr>
        <w:t>rhl</w:t>
      </w:r>
      <w:r>
        <w:rPr>
          <w:b/>
          <w:bCs/>
        </w:rPr>
        <w:t xml:space="preserve"> signal C</w:t>
      </w:r>
      <w:r>
        <w:rPr>
          <w:b/>
          <w:bCs/>
          <w:vertAlign w:val="subscript"/>
        </w:rPr>
        <w:t>4</w:t>
      </w:r>
      <w:r>
        <w:rPr>
          <w:b/>
          <w:bCs/>
        </w:rPr>
        <w:t xml:space="preserve">‑HSL increase the expression of </w:t>
      </w:r>
      <w:r>
        <w:rPr>
          <w:b/>
          <w:bCs/>
          <w:iCs/>
        </w:rPr>
        <w:t>lasI</w:t>
      </w:r>
      <w:r>
        <w:rPr>
          <w:b/>
          <w:bCs/>
        </w:rPr>
        <w:t xml:space="preserve"> and </w:t>
      </w:r>
      <w:r>
        <w:rPr>
          <w:b/>
          <w:bCs/>
          <w:iCs/>
        </w:rPr>
        <w:t>rhlI</w:t>
      </w:r>
      <w:r>
        <w:rPr>
          <w:b/>
          <w:bCs/>
        </w:rPr>
        <w:t xml:space="preserve"> in a signal null PAO1.</w:t>
      </w:r>
      <w:r>
        <w:t xml:space="preserve"> (A-C) </w:t>
      </w:r>
      <w:r>
        <w:rPr>
          <w:iCs/>
        </w:rPr>
        <w:t>lasI</w:t>
      </w:r>
      <w:r>
        <w:t xml:space="preserve"> expression level as a function of defined concentrations of 3‑oxo‑C</w:t>
      </w:r>
      <w:r>
        <w:rPr>
          <w:vertAlign w:val="subscript"/>
        </w:rPr>
        <w:t>12</w:t>
      </w:r>
      <w:r>
        <w:t>‑HSL alone (A), C</w:t>
      </w:r>
      <w:r>
        <w:rPr>
          <w:vertAlign w:val="subscript"/>
        </w:rPr>
        <w:t>4</w:t>
      </w:r>
      <w:r>
        <w:t xml:space="preserve">‑HSL alone (B), and both signals together. (D-F) </w:t>
      </w:r>
      <w:r>
        <w:rPr>
          <w:iCs/>
        </w:rPr>
        <w:t>rhlI</w:t>
      </w:r>
      <w:r>
        <w:t xml:space="preserve"> expression level under the same conditions. All plots show fold-change in RLU/OD (relative light units per optical density) values compared to baseline with no exogenous signals in NPAO1∆</w:t>
      </w:r>
      <w:r>
        <w:rPr>
          <w:iCs/>
        </w:rPr>
        <w:t>lasI</w:t>
      </w:r>
      <w:r>
        <w:t>∆</w:t>
      </w:r>
      <w:r>
        <w:rPr>
          <w:iCs/>
        </w:rPr>
        <w:t>rhlI</w:t>
      </w:r>
      <w:r>
        <w:t xml:space="preserve"> cultures. Genomic reporter fusions </w:t>
      </w:r>
      <w:r>
        <w:rPr>
          <w:iCs/>
        </w:rPr>
        <w:t>lasI:luxCDABE,</w:t>
      </w:r>
      <w:r>
        <w:t xml:space="preserve"> </w:t>
      </w:r>
      <w:r>
        <w:rPr>
          <w:iCs/>
        </w:rPr>
        <w:t>rhlI:luxCDABE,</w:t>
      </w:r>
      <w:r>
        <w:t xml:space="preserve"> and </w:t>
      </w:r>
      <w:r>
        <w:rPr>
          <w:iCs/>
        </w:rPr>
        <w:t>lasB:luxCDABE</w:t>
      </w:r>
      <w:r>
        <w:t xml:space="preserve"> were used to generate luminescence. Points are individual observations within the time window of peak expression; dashed lines show fitted Michaelis-Menten functions (Methods, Table S3). Figures S.1 and S.2 show the underlying expression data for the entire time course of the experiments.</w:t>
      </w:r>
    </w:p>
    <w:p w:rsidR="0092264A"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2B,E shows those results: expression of </w:t>
      </w:r>
      <w:r>
        <w:rPr>
          <w:i/>
          <w:iCs/>
        </w:rPr>
        <w:t>las</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2B) does not correspond to a simple hierarchy with </w:t>
      </w:r>
      <w:r>
        <w:rPr>
          <w:i/>
          <w:iCs/>
        </w:rPr>
        <w:t>las</w:t>
      </w:r>
      <w:r>
        <w:t xml:space="preserve"> as the master. Here we find that the </w:t>
      </w:r>
      <w:r>
        <w:rPr>
          <w:i/>
          <w:iCs/>
        </w:rPr>
        <w:t>rhl</w:t>
      </w:r>
      <w:r>
        <w:t xml:space="preserve"> system affects the </w:t>
      </w:r>
      <w:r>
        <w:rPr>
          <w:i/>
          <w:iCs/>
        </w:rPr>
        <w:t>las</w:t>
      </w:r>
      <w:r>
        <w:t xml:space="preserve"> system.</w:t>
      </w:r>
    </w:p>
    <w:p w:rsidR="0092264A" w:rsidRDefault="00000000">
      <w:pPr>
        <w:pStyle w:val="BodyText"/>
      </w:pPr>
      <w:r>
        <w:t xml:space="preserve">To quantify the impact of each signal alone, we model gene expression using Michaelis-Menten kinetics under quasi-steady state assumptions (Methods, Figure 2A,B,D,E), allowing us to estimate both the maximal fold-change under signal activation and sensitivity to signal (Table S.3). Our model fits indicate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p>
    <w:p w:rsidR="0092264A" w:rsidRDefault="00000000">
      <w:pPr>
        <w:pStyle w:val="BodyText"/>
      </w:pPr>
      <w:r>
        <w:lastRenderedPageBreak/>
        <w:t>Figure 2A,B,D,E considers the effects of each signal in isolation, but wildtype cells with functioning synthase genes can produce both signals. To understand environments where both signals are present, we use controlled concentrations of both signals in combination. Figure 2C,F presents those results in the form of heat maps. The qualitative responses of both genes are similar: raising the concentration of either signal increases expression regardless of the 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rsidR="0092264A" w:rsidRDefault="00000000">
      <w:pPr>
        <w:pStyle w:val="Heading3"/>
      </w:pPr>
      <w:bookmarkStart w:id="7" w:name="Xd9ec9ccc2950f918895b0b80d0b7b8ad7ce6195"/>
      <w:bookmarkEnd w:id="5"/>
      <w:r>
        <w:t xml:space="preserve">Quantifying the </w:t>
      </w:r>
      <w:r>
        <w:rPr>
          <w:i/>
          <w:iCs/>
        </w:rPr>
        <w:t>las</w:t>
      </w:r>
      <w:r>
        <w:t xml:space="preserve"> and </w:t>
      </w:r>
      <w:r>
        <w:rPr>
          <w:i/>
          <w:iCs/>
        </w:rPr>
        <w:t>rhl</w:t>
      </w:r>
      <w:r>
        <w:t xml:space="preserve"> Interactions Reveals Non-Linear and Synergistic Effects</w:t>
      </w:r>
    </w:p>
    <w:p w:rsidR="0092264A" w:rsidRDefault="00000000">
      <w:pPr>
        <w:pStyle w:val="FirstParagraph"/>
      </w:pPr>
      <w:r>
        <w:t>Having established a simple Michaelis-Menten model for each signal in isolation (Figure 2A-D), we next consider whether that model is sufficient to explain the effect of the signals in combination Figure 2C,F. Can we estimate total expression as the sum of expression induced by each signal alone? Such a response could result from two independent binding sites in the promoter regions (17), one site for LasR/3‑oxo‑C</w:t>
      </w:r>
      <w:r>
        <w:rPr>
          <w:vertAlign w:val="subscript"/>
        </w:rPr>
        <w:t>12</w:t>
      </w:r>
      <w:r>
        <w:t>‑HSL and a separate site for RhlR/C</w:t>
      </w:r>
      <w:r>
        <w:rPr>
          <w:vertAlign w:val="subscript"/>
        </w:rPr>
        <w:t>4</w:t>
      </w:r>
      <w:r>
        <w:t>‑HSL. Figure 3A clearly shows that we cannot. The maximum expression observed, shown as a “ceiling” in that figure’s panels, far exceeds the sum of the signals’ individual influence. The presence of both signals boosts expression by as much as 30-fold beyond the level of what a simple sum would predict.</w:t>
      </w:r>
    </w:p>
    <w:p w:rsidR="0092264A" w:rsidRDefault="00000000">
      <w:pPr>
        <w:pStyle w:val="CaptionedFigure"/>
      </w:pPr>
      <w:bookmarkStart w:id="8" w:name="fig:reciprocal"/>
      <w:r>
        <w:rPr>
          <w:noProof/>
        </w:rPr>
        <w:drawing>
          <wp:inline distT="0" distB="0" distL="0" distR="0">
            <wp:extent cx="5238750" cy="3810000"/>
            <wp:effectExtent l="0" t="0" r="0" b="0"/>
            <wp:docPr id="34" name="Picture" descr="Figure 3: reciprocal"/>
            <wp:cNvGraphicFramePr/>
            <a:graphic xmlns:a="http://schemas.openxmlformats.org/drawingml/2006/main">
              <a:graphicData uri="http://schemas.openxmlformats.org/drawingml/2006/picture">
                <pic:pic xmlns:pic="http://schemas.openxmlformats.org/drawingml/2006/picture">
                  <pic:nvPicPr>
                    <pic:cNvPr id="35" name="Picture" descr="Figures/fig3_reciprocal.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238750" cy="3810000"/>
                    </a:xfrm>
                    <a:prstGeom prst="rect">
                      <a:avLst/>
                    </a:prstGeom>
                    <a:noFill/>
                    <a:ln w="9525">
                      <a:noFill/>
                      <a:headEnd/>
                      <a:tailEnd/>
                    </a:ln>
                  </pic:spPr>
                </pic:pic>
              </a:graphicData>
            </a:graphic>
          </wp:inline>
        </w:drawing>
      </w:r>
    </w:p>
    <w:bookmarkEnd w:id="8"/>
    <w:p w:rsidR="0092264A" w:rsidRDefault="00000000">
      <w:pPr>
        <w:pStyle w:val="Caption"/>
      </w:pPr>
      <w:r>
        <w:rPr>
          <w:b/>
          <w:bCs/>
        </w:rPr>
        <w:t xml:space="preserve">Figure 3. The </w:t>
      </w:r>
      <w:r>
        <w:rPr>
          <w:b/>
          <w:bCs/>
          <w:iCs/>
        </w:rPr>
        <w:t>las</w:t>
      </w:r>
      <w:r>
        <w:rPr>
          <w:b/>
          <w:bCs/>
        </w:rPr>
        <w:t xml:space="preserve"> and </w:t>
      </w:r>
      <w:r>
        <w:rPr>
          <w:b/>
          <w:bCs/>
          <w:iCs/>
        </w:rPr>
        <w:t>rhl</w:t>
      </w:r>
      <w:r>
        <w:rPr>
          <w:b/>
          <w:bCs/>
        </w:rPr>
        <w:t xml:space="preserve"> QS systems have a reciprocal, synergistic, and unequal relationship.</w:t>
      </w:r>
      <w:r>
        <w:t xml:space="preserve"> (A) Single-signal models demonstrate that a single signal alone, either 3‑oxo‑C</w:t>
      </w:r>
      <w:r>
        <w:rPr>
          <w:vertAlign w:val="subscript"/>
        </w:rPr>
        <w:t>12</w:t>
      </w:r>
      <w:r>
        <w:t>‑HSL or C</w:t>
      </w:r>
      <w:r>
        <w:rPr>
          <w:vertAlign w:val="subscript"/>
        </w:rPr>
        <w:t>4</w:t>
      </w:r>
      <w:r>
        <w:t xml:space="preserve">‑HSL, cannot account for the maximal expression of </w:t>
      </w:r>
      <w:r>
        <w:rPr>
          <w:iCs/>
        </w:rPr>
        <w:t>lasI</w:t>
      </w:r>
      <w:r>
        <w:t xml:space="preserve"> or </w:t>
      </w:r>
      <w:r>
        <w:rPr>
          <w:iCs/>
        </w:rPr>
        <w:t>rhlI.</w:t>
      </w:r>
      <w:r>
        <w:t xml:space="preserve"> The green, flat surfaces in the plots indicate the maximum mean expression level measured across all combinations of signal </w:t>
      </w:r>
      <w:r>
        <w:lastRenderedPageBreak/>
        <w:t>concentrations. The plotted points represent observed expression levels when C</w:t>
      </w:r>
      <w:r>
        <w:rPr>
          <w:vertAlign w:val="subscript"/>
        </w:rPr>
        <w:t>4</w:t>
      </w:r>
      <w:r>
        <w:t>‑HSL is withheld (red) and when 3‑oxo‑C</w:t>
      </w:r>
      <w:r>
        <w:rPr>
          <w:vertAlign w:val="subscript"/>
        </w:rPr>
        <w:t>12</w:t>
      </w:r>
      <w:r>
        <w:t>‑HSL is withheld (yellow). Lines indicate the model predictions (Equation S.1, parameters in Table S.3). (B) Multi-signal models which incorporate non-zero concentrations of both signals capture the synergistic effects of both signals and match observed expression levels. Model estimates are shown as orange grid lines. Spheres show the mean value of expression observed at each combination of signal concentrations. Lines extend from these mean values to the relevant grid point for clarity. The coefficient of determination (R</w:t>
      </w:r>
      <w:r>
        <w:rPr>
          <w:vertAlign w:val="superscript"/>
        </w:rPr>
        <w:t>2</w:t>
      </w:r>
      <w:r>
        <w:t xml:space="preserve">) for the models is 0.82 and 0.77, respectively. Figures S.4 and S.5 present more detailed comparisons between model and observations. (C) Multi-signal model parameters show the relative contributions of each signal to total maximum fold-change for expression levels of </w:t>
      </w:r>
      <w:r>
        <w:rPr>
          <w:iCs/>
        </w:rPr>
        <w:t>lasI</w:t>
      </w:r>
      <w:r>
        <w:t xml:space="preserve"> and </w:t>
      </w:r>
      <w:r>
        <w:rPr>
          <w:iCs/>
        </w:rPr>
        <w:t>rhlI</w:t>
      </w:r>
      <w:r>
        <w:t xml:space="preserve"> and the relative half concentration values (on a logarithmic scale) for each signal. (D) The multi-signal model can be represented schematically with arrows indicating the relevant influence on expresion levels. Arrow thickness is proportional to maximum fold-change contribution.</w:t>
      </w:r>
    </w:p>
    <w:p w:rsidR="0092264A" w:rsidRDefault="00000000">
      <w:pPr>
        <w:pStyle w:val="BodyText"/>
      </w:pPr>
      <w:r>
        <w:t>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This term accounts for any non-additive interaction, for example the ability of one bound transcription factor to recruit the binding of a second transcription factor (18). Equation 1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rsidR="0092264A" w:rsidRDefault="00133DEA">
      <w:pPr>
        <w:pStyle w:val="FirstParagraph"/>
      </w:pPr>
      <w:r>
        <w:rPr>
          <w:noProof/>
        </w:rPr>
        <w:drawing>
          <wp:inline distT="0" distB="0" distL="0" distR="0">
            <wp:extent cx="5486400" cy="2895600"/>
            <wp:effectExtent l="0" t="0" r="0" b="0"/>
            <wp:docPr id="118561582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15824" name="Graphic 1185615824"/>
                    <pic:cNvPicPr/>
                  </pic:nvPicPr>
                  <pic:blipFill>
                    <a:blip r:embed="rId11">
                      <a:extLst>
                        <a:ext uri="{96DAC541-7B7A-43D3-8B79-37D633B846F1}">
                          <asvg:svgBlip xmlns:asvg="http://schemas.microsoft.com/office/drawing/2016/SVG/main" r:embed="rId12"/>
                        </a:ext>
                      </a:extLst>
                    </a:blip>
                    <a:stretch>
                      <a:fillRect/>
                    </a:stretch>
                  </pic:blipFill>
                  <pic:spPr>
                    <a:xfrm>
                      <a:off x="0" y="0"/>
                      <a:ext cx="5486400" cy="2895600"/>
                    </a:xfrm>
                    <a:prstGeom prst="rect">
                      <a:avLst/>
                    </a:prstGeom>
                  </pic:spPr>
                </pic:pic>
              </a:graphicData>
            </a:graphic>
          </wp:inline>
        </w:drawing>
      </w:r>
    </w:p>
    <w:p w:rsidR="0092264A" w:rsidRDefault="00000000">
      <w:pPr>
        <w:pStyle w:val="BodyText"/>
      </w:pPr>
      <w:r>
        <w:t xml:space="preserve">For both </w:t>
      </w:r>
      <w:r>
        <w:rPr>
          <w:i/>
          <w:iCs/>
        </w:rPr>
        <w:t>lasI</w:t>
      </w:r>
      <w:r>
        <w:t xml:space="preserve"> and </w:t>
      </w:r>
      <w:r>
        <w:rPr>
          <w:i/>
          <w:iCs/>
        </w:rPr>
        <w:t>rhlI</w:t>
      </w:r>
      <w:r>
        <w:t xml:space="preserve"> we again minimize the sum of squared errors to estimate parameter values (non-linear regression using the Gauss-Newton algorithm). The resulting multi-signal models in Table S.4 have R</w:t>
      </w:r>
      <w:r>
        <w:rPr>
          <w:vertAlign w:val="superscript"/>
        </w:rPr>
        <w:t>2</w:t>
      </w:r>
      <w:r>
        <w:t xml:space="preserve"> values of 0.82 and 0.77. Figure 3B compares the model estimates with observations. For both genes, the model captures the effect of either signal in isolation and both signals in combination.</w:t>
      </w:r>
    </w:p>
    <w:p w:rsidR="0092264A" w:rsidRDefault="00000000">
      <w:pPr>
        <w:pStyle w:val="BodyText"/>
      </w:pPr>
      <w:r>
        <w:lastRenderedPageBreak/>
        <w:t xml:space="preserve">The parameter estimates in Table S.4 quantify the relative effect of individual and combined signals. For both </w:t>
      </w:r>
      <w:r>
        <w:rPr>
          <w:i/>
          <w:iCs/>
        </w:rPr>
        <w:t>lasI</w:t>
      </w:r>
      <w:r>
        <w:t xml:space="preserve"> and </w:t>
      </w:r>
      <w:r>
        <w:rPr>
          <w:i/>
          <w:iCs/>
        </w:rPr>
        <w:t>rhlI,</w:t>
      </w:r>
      <w:r>
        <w:t xml:space="preserve"> a single signal increases expression no more than 38- or 35-fold. Both signals combined, however, increase expression an </w:t>
      </w:r>
      <w:r>
        <w:rPr>
          <w:i/>
          <w:iCs/>
        </w:rPr>
        <w:t>additional</w:t>
      </w:r>
      <w:r>
        <w:t xml:space="preserve"> 30- or 27-fold. The maximum expression induced by both signals nearly doubles compared to the maximum expression induced by any signal alone. Figure 3C summarizes the model parameters graphically. Figure 3D revises the consensus view of Figure 1D—the </w:t>
      </w:r>
      <w:r>
        <w:rPr>
          <w:i/>
          <w:iCs/>
        </w:rPr>
        <w:t>rhl</w:t>
      </w:r>
      <w:r>
        <w:t xml:space="preserve"> system does influence the </w:t>
      </w:r>
      <w:r>
        <w:rPr>
          <w:i/>
          <w:iCs/>
        </w:rPr>
        <w:t>las</w:t>
      </w:r>
      <w:r>
        <w:t xml:space="preserve"> system—and it shows the relative magnitudes of the effects.</w:t>
      </w:r>
    </w:p>
    <w:p w:rsidR="0092264A" w:rsidRDefault="00000000">
      <w:pPr>
        <w:pStyle w:val="Heading3"/>
      </w:pPr>
      <w:bookmarkStart w:id="9" w:name="Xd145c737aae79dd4dc1f416a77ecbba85a1c40d"/>
      <w:bookmarkEnd w:id="7"/>
      <w:r>
        <w:rPr>
          <w:i/>
          <w:iCs/>
        </w:rPr>
        <w:t>las</w:t>
      </w:r>
      <w:r>
        <w:t xml:space="preserve"> and </w:t>
      </w:r>
      <w:r>
        <w:rPr>
          <w:i/>
          <w:iCs/>
        </w:rPr>
        <w:t>rhl</w:t>
      </w:r>
      <w:r>
        <w:t xml:space="preserve"> Synergy Also Shapes Control of Quorum Sensing Effector Genes</w:t>
      </w:r>
    </w:p>
    <w:p w:rsidR="0092264A" w:rsidRDefault="00000000">
      <w:pPr>
        <w:pStyle w:val="FirstParagraph"/>
      </w:pPr>
      <w:r>
        <w:t xml:space="preserve">Our results, summarized in Figure 3, establish that both AHL signals influence the expression levels of both synthase genes in a synergistic manner. We note that the methods outlined in Figures 2–3 for the </w:t>
      </w:r>
      <w:r>
        <w:rPr>
          <w:i/>
          <w:iCs/>
        </w:rPr>
        <w:t>lasI</w:t>
      </w:r>
      <w:r>
        <w:t xml:space="preserve"> and </w:t>
      </w:r>
      <w:r>
        <w:rPr>
          <w:i/>
          <w:iCs/>
        </w:rPr>
        <w:t>rhlI</w:t>
      </w:r>
      <w:r>
        <w:t xml:space="preserve"> synthase genes can be applied to any QS-controlled gene of interest and can quantify dual (or more) signal control over expression levels. Here we look at </w:t>
      </w:r>
      <w:r>
        <w:rPr>
          <w:i/>
          <w:iCs/>
        </w:rPr>
        <w:t>lasB,</w:t>
      </w:r>
      <w:r>
        <w:t xml:space="preserve"> a classic QS effector gene that codes for the secreted digestive enzyme LasB and is widely used as a model of QS-mediated virulence (19, 20) and cooperation (21–23).</w:t>
      </w:r>
    </w:p>
    <w:p w:rsidR="0092264A" w:rsidRDefault="00000000">
      <w:pPr>
        <w:pStyle w:val="BodyText"/>
      </w:pPr>
      <w:r>
        <w:t xml:space="preserve">The prior literature provides a clear expectation that </w:t>
      </w:r>
      <w:r>
        <w:rPr>
          <w:i/>
          <w:iCs/>
        </w:rPr>
        <w:t>lasB</w:t>
      </w:r>
      <w:r>
        <w:t xml:space="preserve"> expression will be positively influenced by both AHL signal molecules. (3, 24), but does not provide a quantitative summary of the relative importance of each signal’s contribution—alone and via synergistic effects. Using the approach outlined above, we measure luminescence of a </w:t>
      </w:r>
      <w:r>
        <w:rPr>
          <w:i/>
          <w:iCs/>
        </w:rPr>
        <w:t>lasB</w:t>
      </w:r>
      <w:r>
        <w:t xml:space="preserve"> reporter in an AHL signal null strain exposed to defined, exogenous concentrations of both AHL signals, revealing maximal activation under dual-signal exposure (Figure 4A). Fitting Equation 1 to the data highlights that </w:t>
      </w:r>
      <w:r>
        <w:rPr>
          <w:i/>
          <w:iCs/>
        </w:rPr>
        <w:t>lasB</w:t>
      </w:r>
      <w:r>
        <w:t xml:space="preserve"> expression is dominated by the synergistic combination of both signals rather than either signal in isolation (Figure 4B). Notably, </w:t>
      </w:r>
      <w:r>
        <w:rPr>
          <w:i/>
          <w:iCs/>
        </w:rPr>
        <w:t>lasB</w:t>
      </w:r>
      <w:r>
        <w:t xml:space="preserve"> expression is more sensitive to C</w:t>
      </w:r>
      <w:r>
        <w:rPr>
          <w:vertAlign w:val="subscript"/>
        </w:rPr>
        <w:t>4</w:t>
      </w:r>
      <w:r>
        <w:t>‑HSL than to 3‑oxo‑C</w:t>
      </w:r>
      <w:r>
        <w:rPr>
          <w:vertAlign w:val="subscript"/>
        </w:rPr>
        <w:t>12</w:t>
      </w:r>
      <w:r>
        <w:t>‑HSL. (Figure 4C).</w:t>
      </w:r>
    </w:p>
    <w:p w:rsidR="0092264A" w:rsidRDefault="00000000">
      <w:pPr>
        <w:pStyle w:val="CaptionedFigure"/>
      </w:pPr>
      <w:bookmarkStart w:id="10" w:name="fig:lasb"/>
      <w:r>
        <w:rPr>
          <w:noProof/>
        </w:rPr>
        <w:drawing>
          <wp:inline distT="0" distB="0" distL="0" distR="0">
            <wp:extent cx="3762375" cy="2743200"/>
            <wp:effectExtent l="0" t="0" r="0" b="0"/>
            <wp:docPr id="41" name="Picture" descr="Figure 4: lasb"/>
            <wp:cNvGraphicFramePr/>
            <a:graphic xmlns:a="http://schemas.openxmlformats.org/drawingml/2006/main">
              <a:graphicData uri="http://schemas.openxmlformats.org/drawingml/2006/picture">
                <pic:pic xmlns:pic="http://schemas.openxmlformats.org/drawingml/2006/picture">
                  <pic:nvPicPr>
                    <pic:cNvPr id="42" name="Picture" descr="Figures/fig4_lasb.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3762375" cy="2743200"/>
                    </a:xfrm>
                    <a:prstGeom prst="rect">
                      <a:avLst/>
                    </a:prstGeom>
                    <a:noFill/>
                    <a:ln w="9525">
                      <a:noFill/>
                      <a:headEnd/>
                      <a:tailEnd/>
                    </a:ln>
                  </pic:spPr>
                </pic:pic>
              </a:graphicData>
            </a:graphic>
          </wp:inline>
        </w:drawing>
      </w:r>
    </w:p>
    <w:bookmarkEnd w:id="10"/>
    <w:p w:rsidR="0092264A" w:rsidRDefault="00000000">
      <w:pPr>
        <w:pStyle w:val="Caption"/>
      </w:pPr>
      <w:r>
        <w:rPr>
          <w:b/>
          <w:bCs/>
        </w:rPr>
        <w:t xml:space="preserve">Figure 4. Expression of </w:t>
      </w:r>
      <w:r>
        <w:rPr>
          <w:b/>
          <w:bCs/>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An analysis similar to Figure 3 shows that (A) a single-signal model cannot account for the maximal expression of </w:t>
      </w:r>
      <w:r>
        <w:rPr>
          <w:iCs/>
        </w:rPr>
        <w:t>lasB,</w:t>
      </w:r>
      <w:r>
        <w:t xml:space="preserve"> while (B) a multi-signal model incorporating synergistic effects can match observations. (C) Model parameters for </w:t>
      </w:r>
      <w:r>
        <w:rPr>
          <w:iCs/>
        </w:rPr>
        <w:t>lasB</w:t>
      </w:r>
      <w:r>
        <w:t xml:space="preserve"> can be compared with those for </w:t>
      </w:r>
      <w:r>
        <w:rPr>
          <w:iCs/>
        </w:rPr>
        <w:t>lasI</w:t>
      </w:r>
      <w:r>
        <w:t xml:space="preserve"> and </w:t>
      </w:r>
      <w:r>
        <w:rPr>
          <w:iCs/>
        </w:rPr>
        <w:lastRenderedPageBreak/>
        <w:t>rhlI.</w:t>
      </w:r>
      <w:r>
        <w:t xml:space="preserve"> Figure S.3 shows underlying expression data for full time course of experiments; Table S.5 lists the parameter values, and Figures S.6 and S.7 provide a detailed comparison of model predictions and observations.</w:t>
      </w:r>
    </w:p>
    <w:p w:rsidR="0092264A" w:rsidRDefault="00000000">
      <w:pPr>
        <w:pStyle w:val="Heading3"/>
      </w:pPr>
      <w:bookmarkStart w:id="11" w:name="X640711410c21f1b42f74977b292640e4bbbb74d"/>
      <w:bookmarkEnd w:id="9"/>
      <w:r>
        <w:t>Mathematical Models Incorporating Multi-signal Interactions Predict Quorum Sensing Response to Environmental Variation</w:t>
      </w:r>
    </w:p>
    <w:p w:rsidR="0092264A" w:rsidRDefault="00000000">
      <w:pPr>
        <w:pStyle w:val="FirstParagraph"/>
      </w:pPr>
      <w:r>
        <w:t xml:space="preserve">Our parameterized gene expression model (Equation 1) predicts gene </w:t>
      </w:r>
      <w:r>
        <w:rPr>
          <w:i/>
          <w:iCs/>
        </w:rPr>
        <w:t>i</w:t>
      </w:r>
      <w:r>
        <w:t xml:space="preserve">‘s expression </w:t>
      </w:r>
      <w:r>
        <w:rPr>
          <w:i/>
          <w:iCs/>
        </w:rPr>
        <w:t>E</w:t>
      </w:r>
      <w:r>
        <w:rPr>
          <w:i/>
          <w:iCs/>
          <w:vertAlign w:val="subscript"/>
        </w:rPr>
        <w:t>i</w:t>
      </w:r>
      <w:r>
        <w:t xml:space="preserve"> as a function of the AHL signal environment </w:t>
      </w:r>
      <w:r>
        <w:rPr>
          <w:b/>
          <w:bCs/>
        </w:rPr>
        <w:t>S</w:t>
      </w:r>
      <w:r>
        <w:t xml:space="preserve"> (Figures 3B and S.6), which leaves open the question of how the signal environment </w:t>
      </w:r>
      <w:r>
        <w:rPr>
          <w:b/>
          <w:bCs/>
        </w:rPr>
        <w:t>S</w:t>
      </w:r>
      <w:r>
        <w:t xml:space="preserve"> relates to underlying dimensions of environmental variation—the hypothesized sensing targets of quorum sensing (population density (25), diffusion (26), efficiency (27), containment (28), genotypes (22, 29), combinations (30), etc.)</w:t>
      </w:r>
    </w:p>
    <w:p w:rsidR="0092264A" w:rsidRDefault="00000000">
      <w:pPr>
        <w:pStyle w:val="BodyText"/>
      </w:pPr>
      <w:r>
        <w:t xml:space="preserve">To connect our gene expression model to critical environmental dimensions of bacterial population density and mass transfer (e.g. diffusion or advective flow), we build on previous models of extracellular signal dynamics (30–34). We assume that signal concentration increases in proportion to the corresponding synthase’s expression level, multiplied by the number of cells expressing synthase, and decreases due to a constant rate of decay and removal via mass transfer. These assumptions lead to the differential equation model of Equation 2, where </w:t>
      </w:r>
      <w:r>
        <w:rPr>
          <w:i/>
          <w:iCs/>
        </w:rPr>
        <w:t>S</w:t>
      </w:r>
      <w:r>
        <w:rPr>
          <w:i/>
          <w:iCs/>
          <w:vertAlign w:val="subscript"/>
        </w:rPr>
        <w:t>i</w:t>
      </w:r>
      <w:r>
        <w:t xml:space="preserve"> is the 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1)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rsidR="0092264A" w:rsidRDefault="00133DEA">
      <w:pPr>
        <w:pStyle w:val="FirstParagraph"/>
      </w:pPr>
      <w:r>
        <w:rPr>
          <w:noProof/>
        </w:rPr>
        <w:drawing>
          <wp:inline distT="0" distB="0" distL="0" distR="0">
            <wp:extent cx="5486400" cy="2819400"/>
            <wp:effectExtent l="0" t="0" r="0" b="0"/>
            <wp:docPr id="95643147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31470" name="Graphic 956431470"/>
                    <pic:cNvPicPr/>
                  </pic:nvPicPr>
                  <pic:blipFill>
                    <a:blip r:embed="rId15">
                      <a:extLst>
                        <a:ext uri="{96DAC541-7B7A-43D3-8B79-37D633B846F1}">
                          <asvg:svgBlip xmlns:asvg="http://schemas.microsoft.com/office/drawing/2016/SVG/main" r:embed="rId16"/>
                        </a:ext>
                      </a:extLst>
                    </a:blip>
                    <a:stretch>
                      <a:fillRect/>
                    </a:stretch>
                  </pic:blipFill>
                  <pic:spPr>
                    <a:xfrm>
                      <a:off x="0" y="0"/>
                      <a:ext cx="5486400" cy="2819400"/>
                    </a:xfrm>
                    <a:prstGeom prst="rect">
                      <a:avLst/>
                    </a:prstGeom>
                  </pic:spPr>
                </pic:pic>
              </a:graphicData>
            </a:graphic>
          </wp:inline>
        </w:drawing>
      </w:r>
    </w:p>
    <w:p w:rsidR="0092264A" w:rsidRDefault="00000000">
      <w:pPr>
        <w:pStyle w:val="BodyText"/>
      </w:pPr>
      <w:r>
        <w:t xml:space="preserve">This equation models the dynamics of extracellular signal concentrations in response to environmental conditions defined by density </w:t>
      </w:r>
      <w:r>
        <w:rPr>
          <w:i/>
          <w:iCs/>
        </w:rPr>
        <w:t>N</w:t>
      </w:r>
      <w:r>
        <w:t xml:space="preserve"> and mass transfer rate </w:t>
      </w:r>
      <w:r>
        <w:rPr>
          <w:i/>
          <w:iCs/>
        </w:rPr>
        <w:t>m.</w:t>
      </w:r>
      <w:r>
        <w:t xml:space="preserve"> While it is possible to derive analytical equilibrium solutions to Equation 2 for either independent (Figure 2A,B,D,E, Equation S.1) or synergistic (Equation 1) signal activation </w:t>
      </w:r>
      <w:r>
        <w:rPr>
          <w:i/>
          <w:iCs/>
        </w:rPr>
        <w:t>E</w:t>
      </w:r>
      <w:r>
        <w:rPr>
          <w:i/>
          <w:iCs/>
          <w:vertAlign w:val="subscript"/>
        </w:rPr>
        <w:t>i</w:t>
      </w:r>
      <w:r>
        <w:t>(</w:t>
      </w:r>
      <w:r>
        <w:rPr>
          <w:b/>
          <w:bCs/>
        </w:rPr>
        <w:t>S</w:t>
      </w:r>
      <w:r>
        <w:t>), the resulting solutions are cumbersome and do not yield clear insights into system behavior. (See supporting information.)</w:t>
      </w:r>
    </w:p>
    <w:p w:rsidR="0092264A" w:rsidRDefault="00000000">
      <w:pPr>
        <w:pStyle w:val="BodyText"/>
      </w:pPr>
      <w:r>
        <w:t xml:space="preserve">To numerically solve for equilibrium signal values in Equation 2 that result from given values of population density and mass transfer rate, we derive parameter estimates for synergistic </w:t>
      </w:r>
      <w:r>
        <w:rPr>
          <w:i/>
          <w:iCs/>
        </w:rPr>
        <w:t>E</w:t>
      </w:r>
      <w:r>
        <w:rPr>
          <w:i/>
          <w:iCs/>
          <w:vertAlign w:val="subscript"/>
        </w:rPr>
        <w:t>i</w:t>
      </w:r>
      <w:r>
        <w:t>(</w:t>
      </w:r>
      <w:r>
        <w:rPr>
          <w:b/>
          <w:bCs/>
        </w:rPr>
        <w:t>S</w:t>
      </w:r>
      <w:r>
        <w:t xml:space="preserve">) </w:t>
      </w:r>
      <w:r>
        <w:lastRenderedPageBreak/>
        <w:t xml:space="preserve">from our experimental data (Equation 1, Table S.4). The remaining parameters, </w:t>
      </w:r>
      <w:r>
        <w:rPr>
          <w:i/>
          <w:iCs/>
        </w:rPr>
        <w:t>c</w:t>
      </w:r>
      <w:r>
        <w:rPr>
          <w:i/>
          <w:iCs/>
          <w:vertAlign w:val="subscript"/>
        </w:rPr>
        <w:t>i</w:t>
      </w:r>
      <w:r>
        <w:t xml:space="preserve"> and </w:t>
      </w:r>
      <w:r>
        <w:rPr>
          <w:i/>
          <w:iCs/>
        </w:rPr>
        <w:t>𝜹</w:t>
      </w:r>
      <w:r>
        <w:rPr>
          <w:i/>
          <w:iCs/>
          <w:vertAlign w:val="subscript"/>
        </w:rPr>
        <w:t>i</w:t>
      </w:r>
      <w:r>
        <w:t xml:space="preserve">, we estimate from published literature as detailed in the supporting information and summarized in Table S.3 and Figure S.8. We can connect these equilibrium signal values to QS-controlled effector behavior using our model of </w:t>
      </w:r>
      <w:r>
        <w:rPr>
          <w:i/>
          <w:iCs/>
        </w:rPr>
        <w:t>lasB</w:t>
      </w:r>
      <w:r>
        <w:t xml:space="preserve"> expression (Equation 1 as parameterized by Table S.5). Integrating these steps allows us to probe how </w:t>
      </w:r>
      <w:r>
        <w:rPr>
          <w:i/>
          <w:iCs/>
        </w:rPr>
        <w:t>lasB</w:t>
      </w:r>
      <w:r>
        <w:t xml:space="preserve"> expression varies as the social (</w:t>
      </w:r>
      <w:r>
        <w:rPr>
          <w:i/>
          <w:iCs/>
        </w:rPr>
        <w:t>N</w:t>
      </w:r>
      <w:r>
        <w:t>) and physical (</w:t>
      </w:r>
      <w:r>
        <w:rPr>
          <w:i/>
          <w:iCs/>
        </w:rPr>
        <w:t>m</w:t>
      </w:r>
      <w:r>
        <w:t>) environmentals change.</w:t>
      </w:r>
    </w:p>
    <w:p w:rsidR="0092264A" w:rsidRDefault="00000000">
      <w:pPr>
        <w:pStyle w:val="BodyText"/>
      </w:pPr>
      <w:r>
        <w:t xml:space="preserve">In Figure 5A,B we illustrate our integrated model prediction of </w:t>
      </w:r>
      <w:r>
        <w:rPr>
          <w:i/>
          <w:iCs/>
        </w:rPr>
        <w:t>lasB</w:t>
      </w:r>
      <w:r>
        <w:t xml:space="preserve"> expression as a function of change in stationary phase population density, </w:t>
      </w:r>
      <w:r>
        <w:rPr>
          <w:i/>
          <w:iCs/>
        </w:rPr>
        <w:t>N</w:t>
      </w:r>
      <w:r>
        <w:t xml:space="preserve"> (solid line, Figure 5B), capturing the causal chain (Figure 5A) from environment </w:t>
      </w:r>
      <w:r>
        <w:rPr>
          <w:i/>
          <w:iCs/>
        </w:rPr>
        <w:t>N</w:t>
      </w:r>
      <w:r>
        <w:t xml:space="preserve"> to signal levels </w:t>
      </w:r>
      <w:r>
        <w:rPr>
          <w:b/>
          <w:bCs/>
        </w:rPr>
        <w:t>S</w:t>
      </w:r>
      <w:r>
        <w:t xml:space="preserve"> (Equation 2) and signals </w:t>
      </w:r>
      <w:r>
        <w:rPr>
          <w:b/>
          <w:bCs/>
        </w:rPr>
        <w:t>S</w:t>
      </w:r>
      <w:r>
        <w:t xml:space="preserve"> to </w:t>
      </w:r>
      <w:r>
        <w:rPr>
          <w:i/>
          <w:iCs/>
        </w:rPr>
        <w:t>lasB</w:t>
      </w:r>
      <w:r>
        <w:t xml:space="preserve"> expression (Equation 1, Figure 4, Table S.5). To test this prediction using an independent dataset, we use previously published data on </w:t>
      </w:r>
      <w:r>
        <w:rPr>
          <w:i/>
          <w:iCs/>
        </w:rPr>
        <w:t>lasB</w:t>
      </w:r>
      <w:r>
        <w:t xml:space="preserve"> expression as a function of stationary phase density (35). Our model prediction is in strong agreement with the independently derived data (R</w:t>
      </w:r>
      <w:r>
        <w:rPr>
          <w:vertAlign w:val="superscript"/>
        </w:rPr>
        <w:t>2</w:t>
      </w:r>
      <w:r>
        <w:t xml:space="preserve"> = 0.91), demonstrating not only the utility of our approach but also providing theoretical support for the conclusions of the prior experimental study (35): QS controlled behaviors in </w:t>
      </w:r>
      <w:r>
        <w:rPr>
          <w:i/>
          <w:iCs/>
        </w:rPr>
        <w:t>P. aeruginosa</w:t>
      </w:r>
      <w:r>
        <w:t xml:space="preserve"> are not governed by a critical cell density or ‘quorum’ threshold separating off/on states, but are better described as producing graded or rheostatic responses to changes in stationary phase density.</w:t>
      </w:r>
    </w:p>
    <w:p w:rsidR="0092264A" w:rsidRDefault="00000000">
      <w:pPr>
        <w:pStyle w:val="CaptionedFigure"/>
      </w:pPr>
      <w:bookmarkStart w:id="12" w:name="fig:environment"/>
      <w:r>
        <w:rPr>
          <w:noProof/>
        </w:rPr>
        <w:lastRenderedPageBreak/>
        <w:drawing>
          <wp:inline distT="0" distB="0" distL="0" distR="0">
            <wp:extent cx="5238750" cy="5238750"/>
            <wp:effectExtent l="0" t="0" r="0" b="0"/>
            <wp:docPr id="48" name="Picture" descr="Figure 5: environment"/>
            <wp:cNvGraphicFramePr/>
            <a:graphic xmlns:a="http://schemas.openxmlformats.org/drawingml/2006/main">
              <a:graphicData uri="http://schemas.openxmlformats.org/drawingml/2006/picture">
                <pic:pic xmlns:pic="http://schemas.openxmlformats.org/drawingml/2006/picture">
                  <pic:nvPicPr>
                    <pic:cNvPr id="49" name="Picture" descr="Figures/fig5_environment.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238750" cy="5238750"/>
                    </a:xfrm>
                    <a:prstGeom prst="rect">
                      <a:avLst/>
                    </a:prstGeom>
                    <a:noFill/>
                    <a:ln w="9525">
                      <a:noFill/>
                      <a:headEnd/>
                      <a:tailEnd/>
                    </a:ln>
                  </pic:spPr>
                </pic:pic>
              </a:graphicData>
            </a:graphic>
          </wp:inline>
        </w:drawing>
      </w:r>
    </w:p>
    <w:bookmarkEnd w:id="12"/>
    <w:p w:rsidR="0092264A" w:rsidRDefault="00000000">
      <w:pPr>
        <w:pStyle w:val="Caption"/>
      </w:pPr>
      <w:r>
        <w:rPr>
          <w:b/>
          <w:bCs/>
        </w:rPr>
        <w:t>Figure 5. The models of Equations 1 and 2 in combination can predict responses to environmental variation.</w:t>
      </w:r>
      <w:r>
        <w:t xml:space="preserve"> (A) Given values for population density and mass transfer rate, Equation 2, parameterized by Table S.6, predicts equilibrium concentrations of 3‑oxo‑C</w:t>
      </w:r>
      <w:r>
        <w:rPr>
          <w:vertAlign w:val="subscript"/>
        </w:rPr>
        <w:t>12</w:t>
      </w:r>
      <w:r>
        <w:t>‑HSL and C</w:t>
      </w:r>
      <w:r>
        <w:rPr>
          <w:vertAlign w:val="subscript"/>
        </w:rPr>
        <w:t>4</w:t>
      </w:r>
      <w:r>
        <w:t xml:space="preserve">‑HSL. With those values Equation 1, parameterized by Table S.5, can predict the resulting </w:t>
      </w:r>
      <w:r>
        <w:rPr>
          <w:iCs/>
        </w:rPr>
        <w:t>lasB</w:t>
      </w:r>
      <w:r>
        <w:t xml:space="preserve"> expression level. (B) Predictions resulting from this approach compared to experimental observations. The plot shows a reaction norm (36) of predicted </w:t>
      </w:r>
      <w:r>
        <w:rPr>
          <w:iCs/>
        </w:rPr>
        <w:t>lasB</w:t>
      </w:r>
      <w:r>
        <w:t xml:space="preserve"> expression level (solid line) as a function of population carrying capacity. The figure also shows independent experimental observations of </w:t>
      </w:r>
      <w:r>
        <w:rPr>
          <w:iCs/>
        </w:rPr>
        <w:t>lasB</w:t>
      </w:r>
      <w:r>
        <w:t xml:space="preserve"> expression as a function of bacterial carrying capacity, manipulated by varying the concentration of limiting carbon (35). Model predictions are in good agreement with independent experimental data (R</w:t>
      </w:r>
      <w:r>
        <w:rPr>
          <w:vertAlign w:val="superscript"/>
        </w:rPr>
        <w:t>2</w:t>
      </w:r>
      <w:r>
        <w:t xml:space="preserve"> = 0.91) as both model and observations demonstrate that </w:t>
      </w:r>
      <w:r>
        <w:rPr>
          <w:iCs/>
        </w:rPr>
        <w:t>lasB</w:t>
      </w:r>
      <w:r>
        <w:t xml:space="preserve"> responds to changes in population density and mass transfer in a graded manner. Note that the model parameters are not fitted to the data in this figure. (C-H) Heat maps of </w:t>
      </w:r>
      <w:r>
        <w:rPr>
          <w:iCs/>
        </w:rPr>
        <w:t>lasB</w:t>
      </w:r>
      <w:r>
        <w:t xml:space="preserve"> expression level as a function of both mass transfer </w:t>
      </w:r>
      <w:r>
        <w:rPr>
          <w:iCs/>
        </w:rPr>
        <w:t>m</w:t>
      </w:r>
      <w:r>
        <w:t xml:space="preserve"> and population density </w:t>
      </w:r>
      <w:r>
        <w:rPr>
          <w:iCs/>
        </w:rPr>
        <w:t>N</w:t>
      </w:r>
      <w:r>
        <w:t xml:space="preserve"> given three quorum sensing architectures. (C-E) Architectures without rescaling; (F-H) architectures with rescaling to standardize maximum expression levels. The lines on each heat map indicate density </w:t>
      </w:r>
      <w:r>
        <w:lastRenderedPageBreak/>
        <w:t xml:space="preserve">and mass transfer values for which </w:t>
      </w:r>
      <w:r>
        <w:rPr>
          <w:iCs/>
        </w:rPr>
        <w:t>lasB</w:t>
      </w:r>
      <w:r>
        <w:t xml:space="preserve"> expression is constant, either 50% of its maximum value (white) or 5% of its maximum value (black).</w:t>
      </w:r>
    </w:p>
    <w:p w:rsidR="0092264A" w:rsidRDefault="00000000">
      <w:pPr>
        <w:pStyle w:val="Heading3"/>
      </w:pPr>
      <w:bookmarkStart w:id="13" w:name="Xa6938a39d0945a75713dd8913666836961d703b"/>
      <w:bookmarkEnd w:id="11"/>
      <w:r>
        <w:t>Multi-Signal Architectures Govern Functional Responses to Environmental Variation</w:t>
      </w:r>
    </w:p>
    <w:p w:rsidR="0092264A" w:rsidRDefault="00000000">
      <w:pPr>
        <w:pStyle w:val="FirstParagraph"/>
      </w:pPr>
      <w:r>
        <w:t xml:space="preserve">Following an initial validation of our quantitative predictions linking environmental properties to QS-controlled behaviors (Figure 5B), we now turn to analyses of alternate model structures to assess how changes in model architecture translate to changes in the ability to sense and respond to differences in environmental conditions. Specifically, we ask: how do reciprocal versus hierarchical versus independent architectures (Figure 1) influence QS signal and effector responses to variation in bacterial density and mass transfer? To answer that question, we recognize that Equation 1 is general enough to model hierarchical and independent architectures in addition to reciprocal architectures. Those alternatives emerge when specific </w:t>
      </w:r>
      <w:r>
        <w:rPr>
          <w:i/>
          <w:iCs/>
        </w:rPr>
        <w:t>ɑ</w:t>
      </w:r>
      <w:r>
        <w:t xml:space="preserve"> parameter values are equal to zero.</w:t>
      </w:r>
    </w:p>
    <w:p w:rsidR="0092264A" w:rsidRDefault="00000000">
      <w:pPr>
        <w:pStyle w:val="BodyText"/>
      </w:pPr>
      <w:r>
        <w:t xml:space="preserve">Starting with our full reciprocal activation model (Table S.4), we can derive a </w:t>
      </w:r>
      <w:r>
        <w:rPr>
          <w:i/>
          <w:iCs/>
        </w:rPr>
        <w:t>las</w:t>
      </w:r>
      <w:r>
        <w:t xml:space="preserve">-controlled hierarchical model by setting </w:t>
      </w:r>
      <w:r>
        <w:rPr>
          <w:i/>
          <w:iCs/>
        </w:rPr>
        <w:t>ɑ</w:t>
      </w:r>
      <w:r>
        <w:rPr>
          <w:vertAlign w:val="subscript"/>
        </w:rPr>
        <w:t>1,2</w:t>
      </w:r>
      <w:r>
        <w:t xml:space="preserve"> and </w:t>
      </w:r>
      <w:r>
        <w:rPr>
          <w:i/>
          <w:iCs/>
        </w:rPr>
        <w:t>ɑ</w:t>
      </w:r>
      <w:r>
        <w:rPr>
          <w:vertAlign w:val="subscript"/>
        </w:rPr>
        <w:t>1,1,2</w:t>
      </w:r>
      <w:r>
        <w:t xml:space="preserve"> to zero (removing influences of the </w:t>
      </w:r>
      <w:r>
        <w:rPr>
          <w:i/>
          <w:iCs/>
        </w:rPr>
        <w:t>rhl</w:t>
      </w:r>
      <w:r>
        <w:t xml:space="preserve"> system on the </w:t>
      </w:r>
      <w:r>
        <w:rPr>
          <w:i/>
          <w:iCs/>
        </w:rPr>
        <w:t>las</w:t>
      </w:r>
      <w:r>
        <w:t xml:space="preserve"> system). To derive an independent model we additionally set </w:t>
      </w:r>
      <w:r>
        <w:rPr>
          <w:i/>
          <w:iCs/>
        </w:rPr>
        <w:t>ɑ</w:t>
      </w:r>
      <w:r>
        <w:rPr>
          <w:vertAlign w:val="subscript"/>
        </w:rPr>
        <w:t>2,1</w:t>
      </w:r>
      <w:r>
        <w:t xml:space="preserve"> and </w:t>
      </w:r>
      <w:r>
        <w:rPr>
          <w:i/>
          <w:iCs/>
        </w:rPr>
        <w:t>ɑ</w:t>
      </w:r>
      <w:r>
        <w:rPr>
          <w:vertAlign w:val="subscript"/>
        </w:rPr>
        <w:t>2,1,2</w:t>
      </w:r>
      <w:r>
        <w:t xml:space="preserve"> to zero (removing influences of the </w:t>
      </w:r>
      <w:r>
        <w:rPr>
          <w:i/>
          <w:iCs/>
        </w:rPr>
        <w:t>las</w:t>
      </w:r>
      <w:r>
        <w:t xml:space="preserve"> system on the </w:t>
      </w:r>
      <w:r>
        <w:rPr>
          <w:i/>
          <w:iCs/>
        </w:rPr>
        <w:t>rhl</w:t>
      </w:r>
      <w:r>
        <w:t xml:space="preserve"> system). These adjustments (parameters summarized in Table S.6) allow the multi-signal architecture to represent the alternate models Figure 1 depicts, but they also diminish the total weight of QS activation processes. To compensate for this diminished activation we also examine rescaled hierarchical and rescaled independent parameter sets, where the maximal activation weightings are held constant across models (parameters in table S.7).</w:t>
      </w:r>
    </w:p>
    <w:p w:rsidR="0092264A" w:rsidRDefault="00000000">
      <w:pPr>
        <w:pStyle w:val="BodyText"/>
      </w:pPr>
      <w:r>
        <w:t xml:space="preserve">Using our alternate “counterfactual” models, we examine in Figure 5C-H how equilibrium </w:t>
      </w:r>
      <w:r>
        <w:rPr>
          <w:i/>
          <w:iCs/>
        </w:rPr>
        <w:t>lasB</w:t>
      </w:r>
      <w:r>
        <w:t xml:space="preserve"> expression changes over a range of population densities </w:t>
      </w:r>
      <w:r>
        <w:rPr>
          <w:i/>
          <w:iCs/>
        </w:rPr>
        <w:t>N</w:t>
      </w:r>
      <w:r>
        <w:t xml:space="preserve"> and mass transfer rates </w:t>
      </w:r>
      <w:r>
        <w:rPr>
          <w:i/>
          <w:iCs/>
        </w:rPr>
        <w:t>m</w:t>
      </w:r>
      <w:r>
        <w:t xml:space="preserve">, for all three architectures. Note that in Figure 5B (reciprocal architecture) with </w:t>
      </w:r>
      <w:r>
        <w:rPr>
          <w:i/>
          <w:iCs/>
        </w:rPr>
        <w:t>m =</w:t>
      </w:r>
      <w:r>
        <w:t xml:space="preserve"> 0, we recover the graded response to increasing stationary density </w:t>
      </w:r>
      <w:r>
        <w:rPr>
          <w:i/>
          <w:iCs/>
        </w:rPr>
        <w:t>N</w:t>
      </w:r>
      <w:r>
        <w:t xml:space="preserve"> predicted theoretically and confirmed empirically in Figure 5. Looking across alternate models without rescaling (Figures 5C-E) we see that removing activating processes from </w:t>
      </w:r>
      <w:r>
        <w:rPr>
          <w:i/>
          <w:iCs/>
        </w:rPr>
        <w:t>rhl</w:t>
      </w:r>
      <w:r>
        <w:t xml:space="preserve"> to </w:t>
      </w:r>
      <w:r>
        <w:rPr>
          <w:i/>
          <w:iCs/>
        </w:rPr>
        <w:t>las</w:t>
      </w:r>
      <w:r>
        <w:t xml:space="preserve"> (hierarchical model) and also from </w:t>
      </w:r>
      <w:r>
        <w:rPr>
          <w:i/>
          <w:iCs/>
        </w:rPr>
        <w:t>las</w:t>
      </w:r>
      <w:r>
        <w:t xml:space="preserve"> to </w:t>
      </w:r>
      <w:r>
        <w:rPr>
          <w:i/>
          <w:iCs/>
        </w:rPr>
        <w:t>rhl</w:t>
      </w:r>
      <w:r>
        <w:t xml:space="preserve"> (independent model) leads unsurprisingly to a general weakening of QS maximal response. In the re-scaled models (Figures 5F-H) we normalize maximal expression, so we can contrast functional responses to changes in density and mass transfer. Comparing these panels we can see that changes in architecture change the functional response to environmental variables. In comparison to the hierarchical or independent models, the reciprocal architecture broadens the environmental parameter space where </w:t>
      </w:r>
      <w:r>
        <w:rPr>
          <w:i/>
          <w:iCs/>
        </w:rPr>
        <w:t>lasB</w:t>
      </w:r>
      <w:r>
        <w:t xml:space="preserve"> expression is elevated (areas above 5% black line, and above 50% white line), and also reduces the slope of activation contours (angles of black and white lines). The change in contour slope indicates a greater robustness to increasing mass transfer, given a reciprocal activation architecture. In Figure S.8 we assess the temporal activation dynamics of </w:t>
      </w:r>
      <w:r>
        <w:rPr>
          <w:i/>
          <w:iCs/>
        </w:rPr>
        <w:t>lasB</w:t>
      </w:r>
      <w:r>
        <w:t xml:space="preserve"> under the three alternate architectures, and highlight that even under the rescaled model the reciprocal architecture provides the most rapid activation process (given high density and low mass transfer).</w:t>
      </w:r>
    </w:p>
    <w:p w:rsidR="0092264A" w:rsidRDefault="00000000">
      <w:pPr>
        <w:pStyle w:val="Heading2"/>
      </w:pPr>
      <w:bookmarkStart w:id="14" w:name="discussion"/>
      <w:bookmarkEnd w:id="4"/>
      <w:bookmarkEnd w:id="13"/>
      <w:r>
        <w:lastRenderedPageBreak/>
        <w:t>Discussion</w:t>
      </w:r>
    </w:p>
    <w:p w:rsidR="0092264A" w:rsidRDefault="00000000">
      <w:pPr>
        <w:pStyle w:val="FirstParagraph"/>
      </w:pPr>
      <w:r>
        <w:t>As our knowledge of quorum sensing deepens across species, it is increasingly clear that the use of multiple QS signal molecules is the norm (e.g. </w:t>
      </w:r>
      <w:r>
        <w:rPr>
          <w:i/>
          <w:iCs/>
        </w:rPr>
        <w:t>E. coli</w:t>
      </w:r>
      <w:r>
        <w:t xml:space="preserve"> (37), </w:t>
      </w:r>
      <w:r>
        <w:rPr>
          <w:i/>
          <w:iCs/>
        </w:rPr>
        <w:t>B. subtilis</w:t>
      </w:r>
      <w:r>
        <w:t xml:space="preserve"> [Auchtung2006], </w:t>
      </w:r>
      <w:r>
        <w:rPr>
          <w:i/>
          <w:iCs/>
        </w:rPr>
        <w:t>P. polymyxa</w:t>
      </w:r>
      <w:r>
        <w:t xml:space="preserve"> (38), </w:t>
      </w:r>
      <w:r>
        <w:rPr>
          <w:i/>
          <w:iCs/>
        </w:rPr>
        <w:t>V. harveyi</w:t>
      </w:r>
      <w:r>
        <w:t xml:space="preserve"> (39), and </w:t>
      </w:r>
      <w:r>
        <w:rPr>
          <w:i/>
          <w:iCs/>
        </w:rPr>
        <w:t>V. cholerae</w:t>
      </w:r>
      <w:r>
        <w:t xml:space="preserve"> (40)). While this widespread design feature has been probed extensively on a molecular mechanistic scale to produce detailed intracellular “wiring diagrams” (1, 41). we still lack a general understanding of the dynamical capacities and functional sensing role(s) of these more complex architectures. In this study we use the model QS organism </w:t>
      </w:r>
      <w:r>
        <w:rPr>
          <w:i/>
          <w:iCs/>
        </w:rPr>
        <w:t>Pseudomonas aeruginosa</w:t>
      </w:r>
      <w:r>
        <w:t xml:space="preserve"> to quantify the dynamical interactions among the </w:t>
      </w:r>
      <w:r>
        <w:rPr>
          <w:i/>
          <w:iCs/>
        </w:rPr>
        <w:t>las</w:t>
      </w:r>
      <w:r>
        <w:t xml:space="preserve"> and </w:t>
      </w:r>
      <w:r>
        <w:rPr>
          <w:i/>
          <w:iCs/>
        </w:rPr>
        <w:t>rhl</w:t>
      </w:r>
      <w:r>
        <w:t xml:space="preserve"> signaling sub-systems, and place this dynamical behavior in the functional context of sensing both physical and social environmental variation.</w:t>
      </w:r>
    </w:p>
    <w:p w:rsidR="0092264A" w:rsidRDefault="00000000">
      <w:pPr>
        <w:pStyle w:val="BodyText"/>
      </w:pPr>
      <w:r>
        <w:t xml:space="preserve">Our experimental data show that the conventional </w:t>
      </w:r>
      <w:r>
        <w:rPr>
          <w:i/>
          <w:iCs/>
        </w:rPr>
        <w:t>las-rhl</w:t>
      </w:r>
      <w:r>
        <w:t xml:space="preserve"> hierarchical view of QS in </w:t>
      </w:r>
      <w:r>
        <w:rPr>
          <w:i/>
          <w:iCs/>
        </w:rPr>
        <w:t>P. aeruginosa</w:t>
      </w:r>
      <w:r>
        <w:t xml:space="preserve"> (Figure 1D) is incomplete. Specifically, we quantify a substantial six-fold increase in </w:t>
      </w:r>
      <w:r>
        <w:rPr>
          <w:i/>
          <w:iCs/>
        </w:rPr>
        <w:t>lasI</w:t>
      </w:r>
      <w:r>
        <w:t xml:space="preserve"> expression compared to basal levels given exposure to the </w:t>
      </w:r>
      <w:r>
        <w:rPr>
          <w:i/>
          <w:iCs/>
        </w:rPr>
        <w:t>rhl</w:t>
      </w:r>
      <w:r>
        <w:t xml:space="preserve"> signal C</w:t>
      </w:r>
      <w:r>
        <w:rPr>
          <w:vertAlign w:val="subscript"/>
        </w:rPr>
        <w:t>4</w:t>
      </w:r>
      <w:r>
        <w:t xml:space="preserve">‑HSL (Figure 2B). Fitting mathematical models to data, we quantify within- and among-module interactions, and we demonstrate that the </w:t>
      </w:r>
      <w:r>
        <w:rPr>
          <w:i/>
          <w:iCs/>
        </w:rPr>
        <w:t>las-rhl</w:t>
      </w:r>
      <w:r>
        <w:t xml:space="preserve"> system functions as a biased, reciprocally-activating and cooperative network (Figure 3). To place this intracellular network in an environmental context, we extend our mathematical model to incorporate environmental variation, and find close quantitative support for our model predictions using existing data (Figure 5B). Finally, we use our parameterized model to examine the impact of changing inter-module wiring, and conclude that the reciprocal architecture results in QS-controlled gene expression that is more sensitive to population density and more robust in the presence of environmental interference (Figure 5C-H).</w:t>
      </w:r>
    </w:p>
    <w:p w:rsidR="0092264A" w:rsidRDefault="00000000">
      <w:pPr>
        <w:pStyle w:val="BodyText"/>
      </w:pPr>
      <w:r>
        <w:t xml:space="preserve">Turning to the most common functional rationales for QS, the parameterized Figure 5C-H rejects both the basic “density sensing” and “diffusion sensing” models, as responsiveness to a fixed density is dependent on the level of mass transfer, and vice-versa. While the reciprocal architecture allows greater robustness to increasing mass transfer </w:t>
      </w:r>
      <w:r>
        <w:rPr>
          <w:i/>
          <w:iCs/>
        </w:rPr>
        <w:t>m,</w:t>
      </w:r>
      <w:r>
        <w:t xml:space="preserve"> it is still the case that maximal </w:t>
      </w:r>
      <w:r>
        <w:rPr>
          <w:i/>
          <w:iCs/>
        </w:rPr>
        <w:t>lasB</w:t>
      </w:r>
      <w:r>
        <w:t xml:space="preserve"> expression is concentrated in conditions of high density and low mass transfer, consistent with previous models of “efficiency sensing” (27) and combinatorial quorum sensing (30). Under the combinatorial QS model, information on both social and physical conditions (</w:t>
      </w:r>
      <w:r>
        <w:rPr>
          <w:i/>
          <w:iCs/>
        </w:rPr>
        <w:t>N</w:t>
      </w:r>
      <w:r>
        <w:t xml:space="preserve"> and </w:t>
      </w:r>
      <w:r>
        <w:rPr>
          <w:i/>
          <w:iCs/>
        </w:rPr>
        <w:t>m</w:t>
      </w:r>
      <w:r>
        <w:t xml:space="preserve">) are encoded into the distribution of multiple signals (given differences in signal decay, </w:t>
      </w:r>
      <w:r>
        <w:rPr>
          <w:i/>
          <w:iCs/>
        </w:rPr>
        <w:t>𝛿</w:t>
      </w:r>
      <w:r>
        <w:rPr>
          <w:i/>
          <w:iCs/>
          <w:vertAlign w:val="subscript"/>
        </w:rPr>
        <w:t>i</w:t>
      </w:r>
      <w:r>
        <w:t xml:space="preserve">, and auto-regulation, </w:t>
      </w:r>
      <w:r>
        <w:rPr>
          <w:i/>
          <w:iCs/>
        </w:rPr>
        <w:t>ɑ</w:t>
      </w:r>
      <w:r>
        <w:rPr>
          <w:i/>
          <w:iCs/>
          <w:vertAlign w:val="subscript"/>
        </w:rPr>
        <w:t>i,i</w:t>
      </w:r>
      <w:r>
        <w:t xml:space="preserve">, across signals), which can then be decoded by effectors given non-additive responses to multiple signal inputs. Prior work supports the assumptions of differing rates of environmental decay across AHL signals, and varied non-additive responses across effector genes, including AND-gate control of </w:t>
      </w:r>
      <w:r>
        <w:rPr>
          <w:i/>
          <w:iCs/>
        </w:rPr>
        <w:t>lasB</w:t>
      </w:r>
      <w:r>
        <w:t xml:space="preserve"> (30), while our current analysis additionally supports specific predictions on auto-regulation rates (stronger rates of auto-regulation for the more fragile 3‑oxo‑C</w:t>
      </w:r>
      <w:r>
        <w:rPr>
          <w:vertAlign w:val="subscript"/>
        </w:rPr>
        <w:t>12</w:t>
      </w:r>
      <w:r>
        <w:t>‑HSL signal, Table S.4).</w:t>
      </w:r>
    </w:p>
    <w:p w:rsidR="0092264A" w:rsidRDefault="00000000">
      <w:pPr>
        <w:pStyle w:val="BodyText"/>
      </w:pPr>
      <w:r>
        <w:t>Prior combinatorial QS analyses assumed independent signal activation and a simple threshold activation model for each signal, assumptions that are rejected by the results of the current study. To further assess the combinatorial QS model in light of our new model and data, we plot equilibrium signal concentrations for 3‑oxo‑C</w:t>
      </w:r>
      <w:r>
        <w:rPr>
          <w:vertAlign w:val="subscript"/>
        </w:rPr>
        <w:t>12</w:t>
      </w:r>
      <w:r>
        <w:t>‑HSL and C</w:t>
      </w:r>
      <w:r>
        <w:rPr>
          <w:vertAlign w:val="subscript"/>
        </w:rPr>
        <w:t>4</w:t>
      </w:r>
      <w:r>
        <w:t xml:space="preserve">‑HSL as a function of environmental conditions, and across our 3 alternate multi-signal architectures (Figure 6). Our analyses illustrate that the prediction of differential signal responses to changing environmental parameters is substantial given the independent architecture (different contour slopes in Figure 6C,F), but is attenuated given the reciprocal achitecture (Figure 6A,D). This attenuation is not surprising given that a reciprocal architecture of activation will strengthen the coupling of </w:t>
      </w:r>
      <w:r>
        <w:lastRenderedPageBreak/>
        <w:t>activation levels between the two signals, therefore limiting the ability of two signals to report independently on distinct environmental conditions. In Figure S.11 we show that despite the attenuation of differences between the two signals, the ratio of signals still changes substantially (two-fold) across the (</w:t>
      </w:r>
      <w:r>
        <w:rPr>
          <w:i/>
          <w:iCs/>
        </w:rPr>
        <w:t>m, N</w:t>
      </w:r>
      <w:r>
        <w:t>) parameter space examined, therefore maintaining an encoding of environmental conditions in the distribution of signals.</w:t>
      </w:r>
    </w:p>
    <w:p w:rsidR="0092264A" w:rsidRDefault="00000000">
      <w:pPr>
        <w:pStyle w:val="CaptionedFigure"/>
      </w:pPr>
      <w:bookmarkStart w:id="15" w:name="fig:2signals"/>
      <w:r>
        <w:rPr>
          <w:noProof/>
        </w:rPr>
        <w:drawing>
          <wp:inline distT="0" distB="0" distL="0" distR="0">
            <wp:extent cx="5238750" cy="3619500"/>
            <wp:effectExtent l="0" t="0" r="0" b="0"/>
            <wp:docPr id="56" name="Picture" descr="Figure 6: 2signals"/>
            <wp:cNvGraphicFramePr/>
            <a:graphic xmlns:a="http://schemas.openxmlformats.org/drawingml/2006/main">
              <a:graphicData uri="http://schemas.openxmlformats.org/drawingml/2006/picture">
                <pic:pic xmlns:pic="http://schemas.openxmlformats.org/drawingml/2006/picture">
                  <pic:nvPicPr>
                    <pic:cNvPr id="57" name="Picture" descr="Figures/fig6_2signals.svg"/>
                    <pic:cNvPicPr>
                      <a:picLocks noChangeAspect="1" noChangeArrowheads="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238750" cy="3619500"/>
                    </a:xfrm>
                    <a:prstGeom prst="rect">
                      <a:avLst/>
                    </a:prstGeom>
                    <a:noFill/>
                    <a:ln w="9525">
                      <a:noFill/>
                      <a:headEnd/>
                      <a:tailEnd/>
                    </a:ln>
                  </pic:spPr>
                </pic:pic>
              </a:graphicData>
            </a:graphic>
          </wp:inline>
        </w:drawing>
      </w:r>
    </w:p>
    <w:bookmarkEnd w:id="15"/>
    <w:p w:rsidR="0092264A" w:rsidRDefault="00000000">
      <w:pPr>
        <w:pStyle w:val="Caption"/>
      </w:pPr>
      <w:r>
        <w:rPr>
          <w:b/>
          <w:bCs/>
        </w:rPr>
        <w:t>Figure 6. Extracellular signal concentration as a function of density and mass transfer varies based on the quorum sensing architecture.</w:t>
      </w:r>
      <w:r>
        <w:t xml:space="preserve"> Heat maps of equilibrium 3‑oxo‑C</w:t>
      </w:r>
      <w:r>
        <w:rPr>
          <w:vertAlign w:val="subscript"/>
        </w:rPr>
        <w:t>12</w:t>
      </w:r>
      <w:r>
        <w:t>‑HSL (A-C) and C</w:t>
      </w:r>
      <w:r>
        <w:rPr>
          <w:vertAlign w:val="subscript"/>
        </w:rPr>
        <w:t>4</w:t>
      </w:r>
      <w:r>
        <w:t xml:space="preserve">‑HSL (D-F) concentration as a function of mass transfer </w:t>
      </w:r>
      <w:r>
        <w:rPr>
          <w:iCs/>
        </w:rPr>
        <w:t>m</w:t>
      </w:r>
      <w:r>
        <w:t xml:space="preserve"> and population density </w:t>
      </w:r>
      <w:r>
        <w:rPr>
          <w:iCs/>
        </w:rPr>
        <w:t>N</w:t>
      </w:r>
      <w:r>
        <w:t xml:space="preserve"> for three quorum sensing architectures.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1 model with parameters to normalize maximal expression across the three archictures (Tables S.8). Figure S.10 reports the same outputs using non-rescaled model parameters.</w:t>
      </w:r>
    </w:p>
    <w:p w:rsidR="0092264A" w:rsidRDefault="00000000">
      <w:pPr>
        <w:pStyle w:val="BodyText"/>
      </w:pPr>
      <w:r>
        <w:t>By focusing on extracellular signal concentration as the factor determining behavior, our approach accommodates multiple possible molecular mechanisms. It does mean, however, that we cannot easily distinguish between alternate mechanistic accounts linking signal exposure to changes in gene expression. For example, C</w:t>
      </w:r>
      <w:r>
        <w:rPr>
          <w:vertAlign w:val="subscript"/>
        </w:rPr>
        <w:t>4</w:t>
      </w:r>
      <w:r>
        <w:t xml:space="preserve">‑HSL could be causing an increase in </w:t>
      </w:r>
      <w:r>
        <w:rPr>
          <w:i/>
          <w:iCs/>
        </w:rPr>
        <w:t>lasI</w:t>
      </w:r>
      <w:r>
        <w:t xml:space="preserve"> expression by enabling the formation of LasR dimers, albeit less efficiently than 3‑oxo‑C</w:t>
      </w:r>
      <w:r>
        <w:rPr>
          <w:vertAlign w:val="subscript"/>
        </w:rPr>
        <w:t>12</w:t>
      </w:r>
      <w:r>
        <w:t>‑HSL. Alternatively, it could be the case that the RhlR/C</w:t>
      </w:r>
      <w:r>
        <w:rPr>
          <w:vertAlign w:val="subscript"/>
        </w:rPr>
        <w:t>4</w:t>
      </w:r>
      <w:r>
        <w:t xml:space="preserve">‑HSL complex serves as an activating transcription factor for </w:t>
      </w:r>
      <w:r>
        <w:rPr>
          <w:i/>
          <w:iCs/>
        </w:rPr>
        <w:t>lasI.</w:t>
      </w:r>
      <w:r>
        <w:t xml:space="preserve"> Additional experiments would be required to distinguish between these two cases. Our results highlighting gene expression cooperativity (Figures 2C,F and 3B) raise additional mechanistic questions. In particular, Figure 3B raises challenges for standard additive (42) or multiplicative (18) models of gene expression as a function of multiple inputs. </w:t>
      </w:r>
      <w:r>
        <w:lastRenderedPageBreak/>
        <w:t>Sauer et al. (43) make related observations for a protein complex in Drosophila melanogaster; both of the developmental regulators BCD and HB alone induce a 6-fold increase by themselves but combine to induce a greater than 65-fold increase. These convergent results across large phylogenetic distances offer a tantalizing possibility that further investigations into the mechanisms of P. aeruginosa quorum sensing interactions can provide insights into more general gene regulatory network models.</w:t>
      </w:r>
    </w:p>
    <w:p w:rsidR="0092264A" w:rsidRDefault="00000000">
      <w:pPr>
        <w:pStyle w:val="BodyText"/>
      </w:pPr>
      <w:r>
        <w:t xml:space="preserve">Finally, we highlight that our model is not constrained to dual-signal QS, or to mutually enhancing interactions among signal systems. Figure 7 takes our two-signal </w:t>
      </w:r>
      <w:r>
        <w:rPr>
          <w:i/>
          <w:iCs/>
        </w:rPr>
        <w:t>las</w:t>
      </w:r>
      <w:r>
        <w:t>–</w:t>
      </w:r>
      <w:r>
        <w:rPr>
          <w:i/>
          <w:iCs/>
        </w:rPr>
        <w:t>rhl</w:t>
      </w:r>
      <w:r>
        <w:t xml:space="preserve"> baseline and adds a third signal module that qualitatively mirrors the </w:t>
      </w:r>
      <w:r>
        <w:rPr>
          <w:i/>
          <w:iCs/>
        </w:rPr>
        <w:t>pqs</w:t>
      </w:r>
      <w:r>
        <w:t xml:space="preserve"> system of </w:t>
      </w:r>
      <w:r>
        <w:rPr>
          <w:i/>
          <w:iCs/>
        </w:rPr>
        <w:t>P. aeruginosa</w:t>
      </w:r>
      <w:r>
        <w:t xml:space="preserve"> (__pqs_ is both induced by the </w:t>
      </w:r>
      <w:r>
        <w:rPr>
          <w:i/>
          <w:iCs/>
        </w:rPr>
        <w:t>las</w:t>
      </w:r>
      <w:r>
        <w:t xml:space="preserve"> system and repressed by the </w:t>
      </w:r>
      <w:r>
        <w:rPr>
          <w:i/>
          <w:iCs/>
        </w:rPr>
        <w:t>rhl</w:t>
      </w:r>
      <w:r>
        <w:t xml:space="preserve"> sytem and it, in turn, can induce the </w:t>
      </w:r>
      <w:r>
        <w:rPr>
          <w:i/>
          <w:iCs/>
        </w:rPr>
        <w:t>rhl</w:t>
      </w:r>
      <w:r>
        <w:t xml:space="preserve"> system (12, 44)). Figure 7 shows that shifts in the relative strengths of activation and repression can result in qualitative difference in behavioral outputs of the three-signal system. In sum, our methodology provides a general and flexible methodology to quantify the multi-signal “wiring diagrams” of quorum-sensing bacteria and functionally link these wiring diagrams to QS-controlled responses to environmental variation.</w:t>
      </w:r>
    </w:p>
    <w:p w:rsidR="0092264A" w:rsidRDefault="00000000">
      <w:pPr>
        <w:pStyle w:val="CaptionedFigure"/>
      </w:pPr>
      <w:bookmarkStart w:id="16" w:name="fig:3signals"/>
      <w:r>
        <w:rPr>
          <w:noProof/>
        </w:rPr>
        <w:drawing>
          <wp:inline distT="0" distB="0" distL="0" distR="0">
            <wp:extent cx="3762375" cy="3048000"/>
            <wp:effectExtent l="0" t="0" r="0" b="0"/>
            <wp:docPr id="61" name="Picture" descr="Figure 7: 3signals"/>
            <wp:cNvGraphicFramePr/>
            <a:graphic xmlns:a="http://schemas.openxmlformats.org/drawingml/2006/main">
              <a:graphicData uri="http://schemas.openxmlformats.org/drawingml/2006/picture">
                <pic:pic xmlns:pic="http://schemas.openxmlformats.org/drawingml/2006/picture">
                  <pic:nvPicPr>
                    <pic:cNvPr id="62" name="Picture" descr="Figures/fig7_3signals.svg"/>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3762375" cy="3048000"/>
                    </a:xfrm>
                    <a:prstGeom prst="rect">
                      <a:avLst/>
                    </a:prstGeom>
                    <a:noFill/>
                    <a:ln w="9525">
                      <a:noFill/>
                      <a:headEnd/>
                      <a:tailEnd/>
                    </a:ln>
                  </pic:spPr>
                </pic:pic>
              </a:graphicData>
            </a:graphic>
          </wp:inline>
        </w:drawing>
      </w:r>
    </w:p>
    <w:bookmarkEnd w:id="16"/>
    <w:p w:rsidR="0092264A" w:rsidRDefault="00000000">
      <w:pPr>
        <w:pStyle w:val="Caption"/>
      </w:pPr>
      <w:r>
        <w:rPr>
          <w:b/>
          <w:bCs/>
        </w:rPr>
        <w:t>Figure 7. Interaction strength for both induction and repression determines population behavior.</w:t>
      </w:r>
      <w:r>
        <w:t xml:space="preserve"> The figure considers hypothetical architectures for a quorum sensing network with three QS systems. The first two, mimicking the architecture of </w:t>
      </w:r>
      <w:r>
        <w:rPr>
          <w:iCs/>
        </w:rPr>
        <w:t>las</w:t>
      </w:r>
      <w:r>
        <w:t xml:space="preserve"> and </w:t>
      </w:r>
      <w:r>
        <w:rPr>
          <w:iCs/>
        </w:rPr>
        <w:t>rhl,</w:t>
      </w:r>
      <w:r>
        <w:t xml:space="preserve"> are mutually reinforcing. The third system is both induced and repressed by the other two, matching the reported interactions of </w:t>
      </w:r>
      <w:r>
        <w:rPr>
          <w:iCs/>
        </w:rPr>
        <w:t>pqs.</w:t>
      </w:r>
      <w:r>
        <w:t xml:space="preserve"> The panels show all three synthase expression levels as a function of population density. As the four panels show, even within the constraints of a particular architecture, a wide variety of responses are possible. (A) Baseline case with weak activation of system 3 by system 1 (low 𝛼</w:t>
      </w:r>
      <w:r>
        <w:rPr>
          <w:vertAlign w:val="subscript"/>
        </w:rPr>
        <w:t>3,1</w:t>
      </w:r>
      <w:r>
        <w:t>). (B) Strong activation (high 𝛼</w:t>
      </w:r>
      <w:r>
        <w:rPr>
          <w:vertAlign w:val="subscript"/>
        </w:rPr>
        <w:t>3,1</w:t>
      </w:r>
      <w:r>
        <w:t>). (C) Limited activation with weak repression of system 3 by system 2 (moderately negative 𝛼</w:t>
      </w:r>
      <w:r>
        <w:rPr>
          <w:vertAlign w:val="subscript"/>
        </w:rPr>
        <w:t>3,2</w:t>
      </w:r>
      <w:r>
        <w:t>). (D) Damped activation (strongly negative 𝛼</w:t>
      </w:r>
      <w:r>
        <w:rPr>
          <w:vertAlign w:val="subscript"/>
        </w:rPr>
        <w:t>3,2</w:t>
      </w:r>
      <w:r>
        <w:t>). Table S.9 lists the specific parameters used for all panels.</w:t>
      </w:r>
    </w:p>
    <w:p w:rsidR="0092264A" w:rsidRDefault="00000000">
      <w:pPr>
        <w:pStyle w:val="Heading2"/>
      </w:pPr>
      <w:bookmarkStart w:id="17" w:name="methods"/>
      <w:bookmarkEnd w:id="14"/>
      <w:r>
        <w:lastRenderedPageBreak/>
        <w:t>Methods</w:t>
      </w:r>
    </w:p>
    <w:p w:rsidR="0092264A" w:rsidRDefault="00000000">
      <w:pPr>
        <w:pStyle w:val="Heading3"/>
      </w:pPr>
      <w:bookmarkStart w:id="18" w:name="literature-review"/>
      <w:r>
        <w:t>Literature Review</w:t>
      </w:r>
    </w:p>
    <w:p w:rsidR="0092264A" w:rsidRDefault="00000000">
      <w:pPr>
        <w:pStyle w:val="FirstParagraph"/>
      </w:pPr>
      <w:r>
        <w:t xml:space="preserve">The PubMed database of the US National Institutes of Health was queried on 20 July 2021 using the query </w:t>
      </w:r>
      <w:hyperlink r:id="rId23">
        <w:r>
          <w:rPr>
            <w:rStyle w:val="VerbatimChar"/>
          </w:rPr>
          <w:t>PubMed Search ("review"[Title/Abstract] OR "review"[Publication Type]) AND "quorum sensing"[Title] AND "pseudomonas aeruginosa"[Title/Abstract]</w:t>
        </w:r>
      </w:hyperlink>
      <w:r>
        <w:t xml:space="preserve">, resulting in 76 results with publication dates from 1996 to 2021. Papers that included a diagram of the gene transcription networks for the </w:t>
      </w:r>
      <w:r>
        <w:rPr>
          <w:i/>
          <w:iCs/>
        </w:rPr>
        <w:t>las</w:t>
      </w:r>
      <w:r>
        <w:t xml:space="preserve"> and </w:t>
      </w:r>
      <w:r>
        <w:rPr>
          <w:i/>
          <w:iCs/>
        </w:rPr>
        <w:t>rhl</w:t>
      </w:r>
      <w:r>
        <w:t xml:space="preserve"> quorum sensing systems were further analyzed to interpret the interactions present in those diagrams. Tables S.1 and S.2 show the results. Of the papers analyzed, all show the </w:t>
      </w:r>
      <w:r>
        <w:rPr>
          <w:i/>
          <w:iCs/>
        </w:rPr>
        <w:t>las</w:t>
      </w:r>
      <w:r>
        <w:t xml:space="preserve"> system positively activating the </w:t>
      </w:r>
      <w:r>
        <w:rPr>
          <w:i/>
          <w:iCs/>
        </w:rPr>
        <w:t>rhl</w:t>
      </w:r>
      <w:r>
        <w:t xml:space="preserve"> system, and none show the </w:t>
      </w:r>
      <w:r>
        <w:rPr>
          <w:i/>
          <w:iCs/>
        </w:rPr>
        <w:t>rhl</w:t>
      </w:r>
      <w:r>
        <w:t xml:space="preserve"> system postively activating the </w:t>
      </w:r>
      <w:r>
        <w:rPr>
          <w:i/>
          <w:iCs/>
        </w:rPr>
        <w:t>las</w:t>
      </w:r>
      <w:r>
        <w:t xml:space="preserve"> system.</w:t>
      </w:r>
    </w:p>
    <w:p w:rsidR="0092264A" w:rsidRDefault="00000000">
      <w:pPr>
        <w:pStyle w:val="Heading3"/>
      </w:pPr>
      <w:bookmarkStart w:id="19" w:name="data-collection"/>
      <w:bookmarkEnd w:id="18"/>
      <w:r>
        <w:t>Data Collection</w:t>
      </w:r>
    </w:p>
    <w:p w:rsidR="0092264A"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We streaked out all strains in Luria-Bertani (LB) agar at 37°C for 24 hours and then subcultured a single colony in 10 mL LB, incubated at 37°C under shaking conditions (180 rpm) for 24 hours.</w:t>
      </w:r>
    </w:p>
    <w:p w:rsidR="0092264A" w:rsidRDefault="00000000">
      <w:pPr>
        <w:pStyle w:val="BodyText"/>
      </w:pPr>
      <w:r>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rsidR="0092264A" w:rsidRDefault="00000000">
      <w:pPr>
        <w:pStyle w:val="Heading3"/>
      </w:pPr>
      <w:bookmarkStart w:id="20" w:name="data-analysis"/>
      <w:bookmarkEnd w:id="19"/>
      <w:r>
        <w:t>Data Analysis</w:t>
      </w:r>
    </w:p>
    <w:p w:rsidR="0092264A" w:rsidRDefault="00000000">
      <w:pPr>
        <w:pStyle w:val="FirstParagraph"/>
      </w:pPr>
      <w:r>
        <w:t xml:space="preserve">We estimated parameter values in Tables S.3, S.4, S.5, and S.6 with non-linear regression by least squares using the Gauss-Newton algorithm (45). Observations were limited to time ranges with peak expression values. (See supporting Information for detailed time course analysis.) Comparisons of model predictions and observed values are available in supporting Information. Equilibrium values shown in Figure 5 were computed using a Trust-Region-Dogleg Algorithm (46). Analyses performed and data visualizations created with </w:t>
      </w:r>
      <w:r>
        <w:rPr>
          <w:i/>
          <w:iCs/>
        </w:rPr>
        <w:t>MATLAB: Version 9.13 (R2022b)</w:t>
      </w:r>
      <w:r>
        <w:t xml:space="preserve"> from The MathWorks Inc., Natick, MA and </w:t>
      </w:r>
      <w:r>
        <w:rPr>
          <w:i/>
          <w:iCs/>
        </w:rPr>
        <w:t>Stata Statistical Software: Release 17</w:t>
      </w:r>
      <w:r>
        <w:t xml:space="preserve"> from StataCorp LLC, College Station, TX. All original code is available on GitHub at https://github.com/GaTechBrownLab.</w:t>
      </w:r>
    </w:p>
    <w:p w:rsidR="0092264A" w:rsidRDefault="00000000">
      <w:pPr>
        <w:pStyle w:val="BodyText"/>
      </w:pPr>
      <w:r>
        <w:t>Additional third-party modules:</w:t>
      </w:r>
    </w:p>
    <w:p w:rsidR="0092264A"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rsidR="0092264A" w:rsidRDefault="00000000">
      <w:pPr>
        <w:pStyle w:val="Bibliography"/>
      </w:pPr>
      <w:r>
        <w:lastRenderedPageBreak/>
        <w:t xml:space="preserve">Jann B. “COLRSPACE: Stata module providing a class-based color management system in Mata,” </w:t>
      </w:r>
      <w:r>
        <w:rPr>
          <w:i/>
          <w:iCs/>
        </w:rPr>
        <w:t>Statistical Software Components</w:t>
      </w:r>
      <w:r>
        <w:t xml:space="preserve"> S458597, Boston College Department of Economics, 2019, revised 06 Jun 2020.</w:t>
      </w:r>
    </w:p>
    <w:p w:rsidR="0092264A"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rsidR="0092264A" w:rsidRDefault="00000000">
      <w:pPr>
        <w:pStyle w:val="BodyText"/>
      </w:pPr>
      <w:r>
        <w:t>Custom color schemes adapted from seaboarn.</w:t>
      </w:r>
    </w:p>
    <w:p w:rsidR="0092264A" w:rsidRDefault="00000000">
      <w:pPr>
        <w:pStyle w:val="Bibliography"/>
      </w:pPr>
      <w:r>
        <w:t xml:space="preserve">Watson ML. “seaborn: statistical data visualization.” </w:t>
      </w:r>
      <w:r>
        <w:rPr>
          <w:i/>
          <w:iCs/>
        </w:rPr>
        <w:t>Journal of Open Source Software</w:t>
      </w:r>
      <w:r>
        <w:t xml:space="preserve"> 2021 Apr 06;</w:t>
      </w:r>
      <w:r>
        <w:rPr>
          <w:b/>
          <w:bCs/>
        </w:rPr>
        <w:t>6(60)</w:t>
      </w:r>
      <w:r>
        <w:t>: doi: 10.21105/joss.03021.</w:t>
      </w:r>
    </w:p>
    <w:p w:rsidR="0092264A" w:rsidRDefault="00000000">
      <w:pPr>
        <w:pStyle w:val="Heading2"/>
      </w:pPr>
      <w:bookmarkStart w:id="21" w:name="references"/>
      <w:bookmarkEnd w:id="17"/>
      <w:bookmarkEnd w:id="20"/>
      <w:r>
        <w:t>References</w:t>
      </w:r>
    </w:p>
    <w:p w:rsidR="0092264A" w:rsidRDefault="00000000">
      <w:pPr>
        <w:pStyle w:val="Bibliography"/>
      </w:pPr>
      <w:bookmarkStart w:id="22" w:name="ref-Papenfort2016"/>
      <w:bookmarkStart w:id="23" w:name="refs"/>
      <w:r>
        <w:t xml:space="preserve">1. </w:t>
      </w:r>
      <w:r>
        <w:tab/>
        <w:t xml:space="preserve">K. Papenfort, B. Bassler, Quorum sensing signal-response systems in gram-negative bacteria. </w:t>
      </w:r>
      <w:r>
        <w:rPr>
          <w:i/>
          <w:iCs/>
        </w:rPr>
        <w:t>Nat Rev Microbiol</w:t>
      </w:r>
      <w:r>
        <w:t xml:space="preserve"> </w:t>
      </w:r>
      <w:r>
        <w:rPr>
          <w:b/>
          <w:bCs/>
        </w:rPr>
        <w:t>14</w:t>
      </w:r>
      <w:r>
        <w:t>, 576–588 (2016).</w:t>
      </w:r>
    </w:p>
    <w:p w:rsidR="0092264A" w:rsidRDefault="00000000">
      <w:pPr>
        <w:pStyle w:val="Bibliography"/>
      </w:pPr>
      <w:bookmarkStart w:id="24" w:name="ref-Whiteley2017"/>
      <w:bookmarkEnd w:id="22"/>
      <w:r>
        <w:t xml:space="preserve">2. </w:t>
      </w:r>
      <w:r>
        <w:tab/>
        <w:t xml:space="preserve">M. Whiteley, S. Diggle, E. Greenberg, Progress in and promise of bacterial quorum sensing research. </w:t>
      </w:r>
      <w:r>
        <w:rPr>
          <w:i/>
          <w:iCs/>
        </w:rPr>
        <w:t>Nature</w:t>
      </w:r>
      <w:r>
        <w:t xml:space="preserve"> </w:t>
      </w:r>
      <w:r>
        <w:rPr>
          <w:b/>
          <w:bCs/>
        </w:rPr>
        <w:t>551</w:t>
      </w:r>
      <w:r>
        <w:t>, 313–320 (2017).</w:t>
      </w:r>
    </w:p>
    <w:p w:rsidR="0092264A" w:rsidRDefault="00000000">
      <w:pPr>
        <w:pStyle w:val="Bibliography"/>
      </w:pPr>
      <w:bookmarkStart w:id="25" w:name="ref-Pearson1997"/>
      <w:bookmarkEnd w:id="24"/>
      <w:r>
        <w:t xml:space="preserve">3. </w:t>
      </w:r>
      <w:r>
        <w:tab/>
        <w:t xml:space="preserve">J. Pearson, E. Pesci, B. Iglewski,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w:t>
      </w:r>
      <w:r>
        <w:rPr>
          <w:i/>
          <w:iCs/>
        </w:rPr>
        <w:t>J Bacteriol</w:t>
      </w:r>
      <w:r>
        <w:t xml:space="preserve"> </w:t>
      </w:r>
      <w:r>
        <w:rPr>
          <w:b/>
          <w:bCs/>
        </w:rPr>
        <w:t>179</w:t>
      </w:r>
      <w:r>
        <w:t>, 5756–5767 (1997).</w:t>
      </w:r>
    </w:p>
    <w:p w:rsidR="0092264A" w:rsidRDefault="00000000">
      <w:pPr>
        <w:pStyle w:val="Bibliography"/>
      </w:pPr>
      <w:bookmarkStart w:id="26" w:name="ref-Chugani2001"/>
      <w:bookmarkEnd w:id="25"/>
      <w:r>
        <w:t xml:space="preserve">4. </w:t>
      </w:r>
      <w:r>
        <w:tab/>
        <w:t xml:space="preserve">S. Chugani, </w:t>
      </w:r>
      <w:r>
        <w:rPr>
          <w:i/>
          <w:iCs/>
        </w:rPr>
        <w:t>et al.</w:t>
      </w:r>
      <w:r>
        <w:t xml:space="preserve">, QscR, a modulator of quorum-sensing signal synthesis and virulence in </w:t>
      </w:r>
      <w:r>
        <w:rPr>
          <w:i/>
          <w:iCs/>
        </w:rPr>
        <w:t>Pseudomonas aeruginosa</w:t>
      </w:r>
      <w:r>
        <w:t xml:space="preserve">. </w:t>
      </w:r>
      <w:r>
        <w:rPr>
          <w:i/>
          <w:iCs/>
        </w:rPr>
        <w:t>Proc Natl Acad Sci U S A</w:t>
      </w:r>
      <w:r>
        <w:t xml:space="preserve"> </w:t>
      </w:r>
      <w:r>
        <w:rPr>
          <w:b/>
          <w:bCs/>
        </w:rPr>
        <w:t>98</w:t>
      </w:r>
      <w:r>
        <w:t>, 2752–2757 (2001).</w:t>
      </w:r>
    </w:p>
    <w:p w:rsidR="0092264A" w:rsidRDefault="00000000">
      <w:pPr>
        <w:pStyle w:val="Bibliography"/>
      </w:pPr>
      <w:bookmarkStart w:id="27" w:name="ref-Kiratisin2002"/>
      <w:bookmarkEnd w:id="26"/>
      <w:r>
        <w:t xml:space="preserve">5. </w:t>
      </w:r>
      <w:r>
        <w:tab/>
        <w:t xml:space="preserve">P. Kiratisin, K. Tucker, L. Passador, LasR, a transcriptional activator of </w:t>
      </w:r>
      <w:r>
        <w:rPr>
          <w:i/>
          <w:iCs/>
        </w:rPr>
        <w:t>Pseudomonas aeruginosa</w:t>
      </w:r>
      <w:r>
        <w:t xml:space="preserve"> virulence genes, functions as a multimer. </w:t>
      </w:r>
      <w:r>
        <w:rPr>
          <w:i/>
          <w:iCs/>
        </w:rPr>
        <w:t>J Bacteriol</w:t>
      </w:r>
      <w:r>
        <w:t xml:space="preserve"> </w:t>
      </w:r>
      <w:r>
        <w:rPr>
          <w:b/>
          <w:bCs/>
        </w:rPr>
        <w:t>184</w:t>
      </w:r>
      <w:r>
        <w:t>, 4912–4919 (2002).</w:t>
      </w:r>
    </w:p>
    <w:p w:rsidR="0092264A" w:rsidRDefault="00000000">
      <w:pPr>
        <w:pStyle w:val="Bibliography"/>
      </w:pPr>
      <w:bookmarkStart w:id="28" w:name="ref-Popat2015"/>
      <w:bookmarkEnd w:id="27"/>
      <w:r>
        <w:t xml:space="preserve">6. </w:t>
      </w:r>
      <w:r>
        <w:tab/>
        <w:t xml:space="preserve">R. Popat, D. Cornforth, L. McNally, S. Brown, Collective sensing and collective responses in quorum-sensing bacteria. </w:t>
      </w:r>
      <w:r>
        <w:rPr>
          <w:i/>
          <w:iCs/>
        </w:rPr>
        <w:t>J R Soc Interface</w:t>
      </w:r>
      <w:r>
        <w:t xml:space="preserve"> </w:t>
      </w:r>
      <w:r>
        <w:rPr>
          <w:b/>
          <w:bCs/>
        </w:rPr>
        <w:t>12</w:t>
      </w:r>
      <w:r>
        <w:t>, 20140882 (2015).</w:t>
      </w:r>
    </w:p>
    <w:p w:rsidR="0092264A" w:rsidRDefault="00000000">
      <w:pPr>
        <w:pStyle w:val="Bibliography"/>
      </w:pPr>
      <w:bookmarkStart w:id="29" w:name="ref-Perez2018"/>
      <w:bookmarkEnd w:id="28"/>
      <w:r>
        <w:t xml:space="preserve">7. </w:t>
      </w:r>
      <w:r>
        <w:tab/>
        <w:t xml:space="preserve">J. Pérez-Velázquez, B. Hense, Differential equations models to study quorum sensing. </w:t>
      </w:r>
      <w:r>
        <w:rPr>
          <w:i/>
          <w:iCs/>
        </w:rPr>
        <w:t>Methods Mol Biol</w:t>
      </w:r>
      <w:r>
        <w:t xml:space="preserve"> </w:t>
      </w:r>
      <w:r>
        <w:rPr>
          <w:b/>
          <w:bCs/>
        </w:rPr>
        <w:t>1673</w:t>
      </w:r>
      <w:r>
        <w:t>, 253–271 (2018).</w:t>
      </w:r>
    </w:p>
    <w:p w:rsidR="0092264A" w:rsidRDefault="00000000">
      <w:pPr>
        <w:pStyle w:val="Bibliography"/>
      </w:pPr>
      <w:bookmarkStart w:id="30" w:name="ref-Pearson1999"/>
      <w:bookmarkEnd w:id="29"/>
      <w:r>
        <w:t xml:space="preserve">8. </w:t>
      </w:r>
      <w:r>
        <w:tab/>
        <w:t xml:space="preserve">J. Pearson, C. Van Delden, B. Iglewski, Active efflux and diffusion are involved in transport of </w:t>
      </w:r>
      <w:r>
        <w:rPr>
          <w:i/>
          <w:iCs/>
        </w:rPr>
        <w:t>Pseudomonas aeruginosa</w:t>
      </w:r>
      <w:r>
        <w:t xml:space="preserve"> cell-to-cell signals. </w:t>
      </w:r>
      <w:r>
        <w:rPr>
          <w:i/>
          <w:iCs/>
        </w:rPr>
        <w:t>J Bacteriol</w:t>
      </w:r>
      <w:r>
        <w:t xml:space="preserve"> </w:t>
      </w:r>
      <w:r>
        <w:rPr>
          <w:b/>
          <w:bCs/>
        </w:rPr>
        <w:t>181</w:t>
      </w:r>
      <w:r>
        <w:t>, 1203–1210 (1999).</w:t>
      </w:r>
    </w:p>
    <w:p w:rsidR="0092264A" w:rsidRDefault="00000000">
      <w:pPr>
        <w:pStyle w:val="Bibliography"/>
      </w:pPr>
      <w:bookmarkStart w:id="31" w:name="ref-Bottomley2007"/>
      <w:bookmarkEnd w:id="30"/>
      <w:r>
        <w:t xml:space="preserve">9. </w:t>
      </w:r>
      <w:r>
        <w:tab/>
        <w:t xml:space="preserve">M. Bottomley, E. Muraglia, R. Bazzo, A. Carfì, Molecular insights into quorum sensing in the human pathogen </w:t>
      </w:r>
      <w:r>
        <w:rPr>
          <w:i/>
          <w:iCs/>
        </w:rPr>
        <w:t>Pseudomonas aeruginosa</w:t>
      </w:r>
      <w:r>
        <w:t xml:space="preserve"> from the structure of the virulence regulator LasR bound to its autoinducer. </w:t>
      </w:r>
      <w:r>
        <w:rPr>
          <w:i/>
          <w:iCs/>
        </w:rPr>
        <w:t>J Biol Chem</w:t>
      </w:r>
      <w:r>
        <w:t xml:space="preserve"> </w:t>
      </w:r>
      <w:r>
        <w:rPr>
          <w:b/>
          <w:bCs/>
        </w:rPr>
        <w:t>282</w:t>
      </w:r>
      <w:r>
        <w:t>, 13592–13600 (2007).</w:t>
      </w:r>
    </w:p>
    <w:p w:rsidR="0092264A" w:rsidRDefault="00000000">
      <w:pPr>
        <w:pStyle w:val="Bibliography"/>
      </w:pPr>
      <w:bookmarkStart w:id="32" w:name="ref-Whiteley1999"/>
      <w:bookmarkEnd w:id="31"/>
      <w:r>
        <w:t xml:space="preserve">10. </w:t>
      </w:r>
      <w:r>
        <w:tab/>
        <w:t xml:space="preserve">M. Whiteley, K. Lee, E. Greenberg, Identification of genes controlled by quorum sensing in pseudomonas aeruginosa. </w:t>
      </w:r>
      <w:r>
        <w:rPr>
          <w:i/>
          <w:iCs/>
        </w:rPr>
        <w:t>Proc Natl Acad Sci U S A</w:t>
      </w:r>
      <w:r>
        <w:t xml:space="preserve"> </w:t>
      </w:r>
      <w:r>
        <w:rPr>
          <w:b/>
          <w:bCs/>
        </w:rPr>
        <w:t>96</w:t>
      </w:r>
      <w:r>
        <w:t>, 13904–13909 (1999).</w:t>
      </w:r>
    </w:p>
    <w:p w:rsidR="0092264A" w:rsidRDefault="00000000">
      <w:pPr>
        <w:pStyle w:val="Bibliography"/>
      </w:pPr>
      <w:bookmarkStart w:id="33" w:name="ref-Pesci1997"/>
      <w:bookmarkEnd w:id="32"/>
      <w:r>
        <w:t xml:space="preserve">11. </w:t>
      </w:r>
      <w:r>
        <w:tab/>
        <w:t xml:space="preserve">E. Pesci, J. Pearson, P. Seed, B. Iglewski, Regulation of </w:t>
      </w:r>
      <w:r>
        <w:rPr>
          <w:i/>
          <w:iCs/>
        </w:rPr>
        <w:t>las</w:t>
      </w:r>
      <w:r>
        <w:t xml:space="preserve"> and </w:t>
      </w:r>
      <w:r>
        <w:rPr>
          <w:i/>
          <w:iCs/>
        </w:rPr>
        <w:t>rhl</w:t>
      </w:r>
      <w:r>
        <w:t xml:space="preserve"> quorum sensing in </w:t>
      </w:r>
      <w:r>
        <w:rPr>
          <w:i/>
          <w:iCs/>
        </w:rPr>
        <w:t>Pseudomonas aeruginosa</w:t>
      </w:r>
      <w:r>
        <w:t xml:space="preserve">. </w:t>
      </w:r>
      <w:r>
        <w:rPr>
          <w:i/>
          <w:iCs/>
        </w:rPr>
        <w:t>J Bacteriol</w:t>
      </w:r>
      <w:r>
        <w:t xml:space="preserve"> </w:t>
      </w:r>
      <w:r>
        <w:rPr>
          <w:b/>
          <w:bCs/>
        </w:rPr>
        <w:t>179</w:t>
      </w:r>
      <w:r>
        <w:t>, 3127–3132 (1997).</w:t>
      </w:r>
    </w:p>
    <w:p w:rsidR="0092264A" w:rsidRDefault="00000000">
      <w:pPr>
        <w:pStyle w:val="Bibliography"/>
      </w:pPr>
      <w:bookmarkStart w:id="34" w:name="ref-Lee2015"/>
      <w:bookmarkEnd w:id="33"/>
      <w:r>
        <w:t xml:space="preserve">12. </w:t>
      </w:r>
      <w:r>
        <w:tab/>
        <w:t xml:space="preserve">J. Lee, L. Zhang, The hierarchy quorum sensing network in </w:t>
      </w:r>
      <w:r>
        <w:rPr>
          <w:i/>
          <w:iCs/>
        </w:rPr>
        <w:t>Pseudomonas aeruginosa</w:t>
      </w:r>
      <w:r>
        <w:t xml:space="preserve">. </w:t>
      </w:r>
      <w:r>
        <w:rPr>
          <w:i/>
          <w:iCs/>
        </w:rPr>
        <w:t>Protein Cell</w:t>
      </w:r>
      <w:r>
        <w:t xml:space="preserve"> </w:t>
      </w:r>
      <w:r>
        <w:rPr>
          <w:b/>
          <w:bCs/>
        </w:rPr>
        <w:t>6</w:t>
      </w:r>
      <w:r>
        <w:t>, 26–41 (2015).</w:t>
      </w:r>
    </w:p>
    <w:p w:rsidR="0092264A" w:rsidRDefault="00000000">
      <w:pPr>
        <w:pStyle w:val="Bibliography"/>
      </w:pPr>
      <w:bookmarkStart w:id="35" w:name="ref-Schuster2007"/>
      <w:bookmarkEnd w:id="34"/>
      <w:r>
        <w:lastRenderedPageBreak/>
        <w:t xml:space="preserve">13. </w:t>
      </w:r>
      <w:r>
        <w:tab/>
        <w:t xml:space="preserve">M. Schuster, E. Greenberg, Early activation of quorum sensing in </w:t>
      </w:r>
      <w:r>
        <w:rPr>
          <w:i/>
          <w:iCs/>
        </w:rPr>
        <w:t>Pseudomonas aeruginosa</w:t>
      </w:r>
      <w:r>
        <w:t xml:space="preserve"> reveals the architecture of a complex regulon. </w:t>
      </w:r>
      <w:r>
        <w:rPr>
          <w:i/>
          <w:iCs/>
        </w:rPr>
        <w:t>BMC Genomics</w:t>
      </w:r>
      <w:r>
        <w:t xml:space="preserve"> </w:t>
      </w:r>
      <w:r>
        <w:rPr>
          <w:b/>
          <w:bCs/>
        </w:rPr>
        <w:t>8</w:t>
      </w:r>
      <w:r>
        <w:t>, 287 (2007).</w:t>
      </w:r>
    </w:p>
    <w:p w:rsidR="0092264A" w:rsidRDefault="00000000">
      <w:pPr>
        <w:pStyle w:val="Bibliography"/>
      </w:pPr>
      <w:bookmarkStart w:id="36" w:name="ref-Latifi1996"/>
      <w:bookmarkEnd w:id="35"/>
      <w:r>
        <w:t xml:space="preserve">14. </w:t>
      </w:r>
      <w:r>
        <w:tab/>
        <w:t xml:space="preserve">A. Latifi, M. Foglino, K. Tanaka, P. Williams, A. Lazdunski, A hierarchical quorum-sensing cascade in </w:t>
      </w:r>
      <w:r>
        <w:rPr>
          <w:i/>
          <w:iCs/>
        </w:rPr>
        <w:t>Pseudomonas aeruginosa</w:t>
      </w:r>
      <w:r>
        <w:t xml:space="preserve"> links the transcriptional activators LasR and RhIR (VsmR) to expression of the stationary-phase sigma factor RpoS. </w:t>
      </w:r>
      <w:r>
        <w:rPr>
          <w:i/>
          <w:iCs/>
        </w:rPr>
        <w:t>Mol Microbiol</w:t>
      </w:r>
      <w:r>
        <w:t xml:space="preserve"> </w:t>
      </w:r>
      <w:r>
        <w:rPr>
          <w:b/>
          <w:bCs/>
        </w:rPr>
        <w:t>21</w:t>
      </w:r>
      <w:r>
        <w:t>, 1137–1146 (1996).</w:t>
      </w:r>
    </w:p>
    <w:p w:rsidR="0092264A" w:rsidRDefault="00000000">
      <w:pPr>
        <w:pStyle w:val="Bibliography"/>
      </w:pPr>
      <w:bookmarkStart w:id="37" w:name="ref-Dekimpe2009"/>
      <w:bookmarkEnd w:id="36"/>
      <w:r>
        <w:t xml:space="preserve">15. </w:t>
      </w:r>
      <w:r>
        <w:tab/>
        <w:t xml:space="preserve">V. Dekimpe, E. Déziel, Revisiting the quorum-sensing hierarchy in pseudomonas aeruginosa: The transcriptional regulator RhlR regulates LasR-specific factors. </w:t>
      </w:r>
      <w:r>
        <w:rPr>
          <w:i/>
          <w:iCs/>
        </w:rPr>
        <w:t>Microbiology (Reading)</w:t>
      </w:r>
      <w:r>
        <w:t xml:space="preserve"> </w:t>
      </w:r>
      <w:r>
        <w:rPr>
          <w:b/>
          <w:bCs/>
        </w:rPr>
        <w:t>155</w:t>
      </w:r>
      <w:r>
        <w:t>, 712–723 (2009).</w:t>
      </w:r>
    </w:p>
    <w:p w:rsidR="0092264A" w:rsidRDefault="00000000">
      <w:pPr>
        <w:pStyle w:val="Bibliography"/>
      </w:pPr>
      <w:bookmarkStart w:id="38" w:name="ref-Kostylev2019"/>
      <w:bookmarkEnd w:id="37"/>
      <w:r>
        <w:t xml:space="preserve">16. </w:t>
      </w:r>
      <w:r>
        <w:tab/>
        <w:t xml:space="preserve">M. Kostylev, </w:t>
      </w:r>
      <w:r>
        <w:rPr>
          <w:i/>
          <w:iCs/>
        </w:rPr>
        <w:t>et al.</w:t>
      </w:r>
      <w:r>
        <w:t xml:space="preserve">, Evolution of the pseudomonas aeruginosa quorum-sensing hierarchy. </w:t>
      </w:r>
      <w:r>
        <w:rPr>
          <w:i/>
          <w:iCs/>
        </w:rPr>
        <w:t>Proc Natl Acad Sci U S A</w:t>
      </w:r>
      <w:r>
        <w:t xml:space="preserve"> </w:t>
      </w:r>
      <w:r>
        <w:rPr>
          <w:b/>
          <w:bCs/>
        </w:rPr>
        <w:t>116</w:t>
      </w:r>
      <w:r>
        <w:t>, 7027–7032 (2019).</w:t>
      </w:r>
    </w:p>
    <w:p w:rsidR="0092264A" w:rsidRDefault="00000000">
      <w:pPr>
        <w:pStyle w:val="Bibliography"/>
      </w:pPr>
      <w:bookmarkStart w:id="39" w:name="ref-Buchler2003"/>
      <w:bookmarkEnd w:id="38"/>
      <w:r>
        <w:t xml:space="preserve">17. </w:t>
      </w:r>
      <w:r>
        <w:tab/>
        <w:t xml:space="preserve">N. Buchler, U. Gerland, T. Hwa, On schemes of combinatorial transcription logic. </w:t>
      </w:r>
      <w:r>
        <w:rPr>
          <w:i/>
          <w:iCs/>
        </w:rPr>
        <w:t>Proc Natl Acad Sci U S A</w:t>
      </w:r>
      <w:r>
        <w:t xml:space="preserve"> </w:t>
      </w:r>
      <w:r>
        <w:rPr>
          <w:b/>
          <w:bCs/>
        </w:rPr>
        <w:t>100</w:t>
      </w:r>
      <w:r>
        <w:t>, 5136–5141 (2003).</w:t>
      </w:r>
    </w:p>
    <w:p w:rsidR="0092264A" w:rsidRDefault="00000000">
      <w:pPr>
        <w:pStyle w:val="Bibliography"/>
      </w:pPr>
      <w:bookmarkStart w:id="40" w:name="ref-Kaplan2008"/>
      <w:bookmarkEnd w:id="39"/>
      <w:r>
        <w:t xml:space="preserve">18. </w:t>
      </w:r>
      <w:r>
        <w:tab/>
        <w:t xml:space="preserve">S. Kaplan, A. Bren, A. Zaslaver, E. Dekel, U. Alon, Diverse two-dimensional input functions control bacterial sugar genes. </w:t>
      </w:r>
      <w:r>
        <w:rPr>
          <w:i/>
          <w:iCs/>
        </w:rPr>
        <w:t>Mol Cell</w:t>
      </w:r>
      <w:r>
        <w:t xml:space="preserve"> </w:t>
      </w:r>
      <w:r>
        <w:rPr>
          <w:b/>
          <w:bCs/>
        </w:rPr>
        <w:t>29</w:t>
      </w:r>
      <w:r>
        <w:t>, 786–792 (2008).</w:t>
      </w:r>
    </w:p>
    <w:p w:rsidR="0092264A" w:rsidRDefault="00000000">
      <w:pPr>
        <w:pStyle w:val="Bibliography"/>
      </w:pPr>
      <w:bookmarkStart w:id="41" w:name="ref-Casilag2016"/>
      <w:bookmarkEnd w:id="40"/>
      <w:r>
        <w:t xml:space="preserve">19. </w:t>
      </w:r>
      <w:r>
        <w:tab/>
        <w:t xml:space="preserve">F. Casilag, </w:t>
      </w:r>
      <w:r>
        <w:rPr>
          <w:i/>
          <w:iCs/>
        </w:rPr>
        <w:t>et al.</w:t>
      </w:r>
      <w:r>
        <w:t xml:space="preserve">, The LasB elastase of </w:t>
      </w:r>
      <w:r>
        <w:rPr>
          <w:i/>
          <w:iCs/>
        </w:rPr>
        <w:t>Pseudomonas aeruginosa</w:t>
      </w:r>
      <w:r>
        <w:t xml:space="preserve"> acts in concert with alkaline protease AprA to prevent flagellin-mediated immune recognition. </w:t>
      </w:r>
      <w:r>
        <w:rPr>
          <w:i/>
          <w:iCs/>
        </w:rPr>
        <w:t>Infect Immun</w:t>
      </w:r>
      <w:r>
        <w:t xml:space="preserve"> </w:t>
      </w:r>
      <w:r>
        <w:rPr>
          <w:b/>
          <w:bCs/>
        </w:rPr>
        <w:t>84</w:t>
      </w:r>
      <w:r>
        <w:t>, 162–171 (2016).</w:t>
      </w:r>
    </w:p>
    <w:p w:rsidR="0092264A" w:rsidRDefault="00000000">
      <w:pPr>
        <w:pStyle w:val="Bibliography"/>
      </w:pPr>
      <w:bookmarkStart w:id="42" w:name="ref-Cigana2021"/>
      <w:bookmarkEnd w:id="41"/>
      <w:r>
        <w:t xml:space="preserve">20. </w:t>
      </w:r>
      <w:r>
        <w:tab/>
        <w:t xml:space="preserve">C. Cigana, </w:t>
      </w:r>
      <w:r>
        <w:rPr>
          <w:i/>
          <w:iCs/>
        </w:rPr>
        <w:t>et al.</w:t>
      </w:r>
      <w:r>
        <w:t xml:space="preserve">, </w:t>
      </w:r>
      <w:r>
        <w:rPr>
          <w:i/>
          <w:iCs/>
        </w:rPr>
        <w:t>Pseudomonas aeruginosa</w:t>
      </w:r>
      <w:r>
        <w:t xml:space="preserve"> elastase contributes to the establishment of chronic lung colonization and modulates the immune response in a murine model. </w:t>
      </w:r>
      <w:r>
        <w:rPr>
          <w:i/>
          <w:iCs/>
        </w:rPr>
        <w:t>Frontiers in Microbiology</w:t>
      </w:r>
      <w:r>
        <w:t xml:space="preserve"> </w:t>
      </w:r>
      <w:r>
        <w:rPr>
          <w:b/>
          <w:bCs/>
        </w:rPr>
        <w:t>11</w:t>
      </w:r>
      <w:r>
        <w:t>, 620819 (2021).</w:t>
      </w:r>
    </w:p>
    <w:p w:rsidR="0092264A" w:rsidRDefault="00000000">
      <w:pPr>
        <w:pStyle w:val="Bibliography"/>
      </w:pPr>
      <w:bookmarkStart w:id="43" w:name="ref-Diggle2007"/>
      <w:bookmarkEnd w:id="42"/>
      <w:r>
        <w:t xml:space="preserve">21. </w:t>
      </w:r>
      <w:r>
        <w:tab/>
        <w:t xml:space="preserve">S. Diggle, A. Griffin, G. Campbell, S. West, Cooperation and conflict in quorum-sensing bacterial populations. </w:t>
      </w:r>
      <w:r>
        <w:rPr>
          <w:i/>
          <w:iCs/>
        </w:rPr>
        <w:t>Nature</w:t>
      </w:r>
      <w:r>
        <w:t xml:space="preserve"> </w:t>
      </w:r>
      <w:r>
        <w:rPr>
          <w:b/>
          <w:bCs/>
        </w:rPr>
        <w:t>450</w:t>
      </w:r>
      <w:r>
        <w:t>, 411–414 (2007).</w:t>
      </w:r>
    </w:p>
    <w:p w:rsidR="0092264A" w:rsidRDefault="00000000">
      <w:pPr>
        <w:pStyle w:val="Bibliography"/>
      </w:pPr>
      <w:bookmarkStart w:id="44" w:name="ref-Allen2016"/>
      <w:bookmarkEnd w:id="43"/>
      <w:r>
        <w:t xml:space="preserve">22. </w:t>
      </w:r>
      <w:r>
        <w:tab/>
        <w:t xml:space="preserve">R. Allen, L. McNally, R. Popat, S. Brown, Quorum sensing protects bacterial co-operation from exploitation by cheats. </w:t>
      </w:r>
      <w:r>
        <w:rPr>
          <w:i/>
          <w:iCs/>
        </w:rPr>
        <w:t>ISME J</w:t>
      </w:r>
      <w:r>
        <w:t xml:space="preserve"> </w:t>
      </w:r>
      <w:r>
        <w:rPr>
          <w:b/>
          <w:bCs/>
        </w:rPr>
        <w:t>10</w:t>
      </w:r>
      <w:r>
        <w:t>, 1706–1716 (2016).</w:t>
      </w:r>
    </w:p>
    <w:p w:rsidR="0092264A" w:rsidRDefault="00000000">
      <w:pPr>
        <w:pStyle w:val="Bibliography"/>
      </w:pPr>
      <w:bookmarkStart w:id="45" w:name="ref-Sexton2017"/>
      <w:bookmarkEnd w:id="44"/>
      <w:r>
        <w:t xml:space="preserve">23. </w:t>
      </w:r>
      <w:r>
        <w:tab/>
        <w:t xml:space="preserve">D. Sexton, M. Schuster, Nutrient limitation determines the fitness of cheaters in bacterial siderophore cooperation. </w:t>
      </w:r>
      <w:r>
        <w:rPr>
          <w:i/>
          <w:iCs/>
        </w:rPr>
        <w:t>Nat Commun</w:t>
      </w:r>
      <w:r>
        <w:t xml:space="preserve"> </w:t>
      </w:r>
      <w:r>
        <w:rPr>
          <w:b/>
          <w:bCs/>
        </w:rPr>
        <w:t>8</w:t>
      </w:r>
      <w:r>
        <w:t>, 230 (2017).</w:t>
      </w:r>
    </w:p>
    <w:p w:rsidR="0092264A" w:rsidRDefault="00000000">
      <w:pPr>
        <w:pStyle w:val="Bibliography"/>
      </w:pPr>
      <w:bookmarkStart w:id="46" w:name="ref-Nouwens2003"/>
      <w:bookmarkEnd w:id="45"/>
      <w:r>
        <w:t xml:space="preserve">24. </w:t>
      </w:r>
      <w:r>
        <w:tab/>
        <w:t xml:space="preserve">A. Nouwens, </w:t>
      </w:r>
      <w:r>
        <w:rPr>
          <w:i/>
          <w:iCs/>
        </w:rPr>
        <w:t>et al.</w:t>
      </w:r>
      <w:r>
        <w:t xml:space="preserve">,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w:t>
      </w:r>
      <w:r>
        <w:rPr>
          <w:i/>
          <w:iCs/>
        </w:rPr>
        <w:t>Microbiology (Reading)</w:t>
      </w:r>
      <w:r>
        <w:t xml:space="preserve"> </w:t>
      </w:r>
      <w:r>
        <w:rPr>
          <w:b/>
          <w:bCs/>
        </w:rPr>
        <w:t>149</w:t>
      </w:r>
      <w:r>
        <w:t>, 1311–1322 (2003).</w:t>
      </w:r>
    </w:p>
    <w:p w:rsidR="0092264A" w:rsidRDefault="00000000">
      <w:pPr>
        <w:pStyle w:val="Bibliography"/>
      </w:pPr>
      <w:bookmarkStart w:id="47" w:name="ref-Fuqua1994"/>
      <w:bookmarkEnd w:id="46"/>
      <w:r>
        <w:t xml:space="preserve">25. </w:t>
      </w:r>
      <w:r>
        <w:tab/>
        <w:t xml:space="preserve">W. Fuqua, S. Winans, E. Greenberg, Quorum sensing in bacteria: The LuxR-LuxI family of cell density-responsive transcriptional regulators. </w:t>
      </w:r>
      <w:r>
        <w:rPr>
          <w:i/>
          <w:iCs/>
        </w:rPr>
        <w:t>J Bacteriol</w:t>
      </w:r>
      <w:r>
        <w:t xml:space="preserve"> </w:t>
      </w:r>
      <w:r>
        <w:rPr>
          <w:b/>
          <w:bCs/>
        </w:rPr>
        <w:t>176</w:t>
      </w:r>
      <w:r>
        <w:t>, 269–275 (1994).</w:t>
      </w:r>
    </w:p>
    <w:p w:rsidR="0092264A" w:rsidRDefault="00000000">
      <w:pPr>
        <w:pStyle w:val="Bibliography"/>
      </w:pPr>
      <w:bookmarkStart w:id="48" w:name="ref-Redfield2002"/>
      <w:bookmarkEnd w:id="47"/>
      <w:r>
        <w:t xml:space="preserve">26. </w:t>
      </w:r>
      <w:r>
        <w:tab/>
        <w:t xml:space="preserve">R. Redfield, Is quorum sensing a side effect of diffusion sensing. </w:t>
      </w:r>
      <w:r>
        <w:rPr>
          <w:i/>
          <w:iCs/>
        </w:rPr>
        <w:t>Trends Microbiol</w:t>
      </w:r>
      <w:r>
        <w:t xml:space="preserve"> </w:t>
      </w:r>
      <w:r>
        <w:rPr>
          <w:b/>
          <w:bCs/>
        </w:rPr>
        <w:t>10</w:t>
      </w:r>
      <w:r>
        <w:t>, 365–370 (2002).</w:t>
      </w:r>
    </w:p>
    <w:p w:rsidR="0092264A" w:rsidRDefault="00000000">
      <w:pPr>
        <w:pStyle w:val="Bibliography"/>
      </w:pPr>
      <w:bookmarkStart w:id="49" w:name="ref-Hense2007"/>
      <w:bookmarkEnd w:id="48"/>
      <w:r>
        <w:t xml:space="preserve">27. </w:t>
      </w:r>
      <w:r>
        <w:tab/>
        <w:t xml:space="preserve">B. Hense, </w:t>
      </w:r>
      <w:r>
        <w:rPr>
          <w:i/>
          <w:iCs/>
        </w:rPr>
        <w:t>et al.</w:t>
      </w:r>
      <w:r>
        <w:t xml:space="preserve">, Does efficiency sensing unify diffusion and quorum sensing. </w:t>
      </w:r>
      <w:r>
        <w:rPr>
          <w:i/>
          <w:iCs/>
        </w:rPr>
        <w:t>Nat Rev Microbiol</w:t>
      </w:r>
      <w:r>
        <w:t xml:space="preserve"> </w:t>
      </w:r>
      <w:r>
        <w:rPr>
          <w:b/>
          <w:bCs/>
        </w:rPr>
        <w:t>5</w:t>
      </w:r>
      <w:r>
        <w:t>, 230–239 (2007).</w:t>
      </w:r>
    </w:p>
    <w:p w:rsidR="0092264A" w:rsidRDefault="00000000">
      <w:pPr>
        <w:pStyle w:val="Bibliography"/>
      </w:pPr>
      <w:bookmarkStart w:id="50" w:name="ref-Boedicker2009"/>
      <w:bookmarkEnd w:id="49"/>
      <w:r>
        <w:lastRenderedPageBreak/>
        <w:t xml:space="preserve">28. </w:t>
      </w:r>
      <w:r>
        <w:tab/>
        <w:t xml:space="preserve">J. Boedicker, M. Vincent, R. Ismagilov, Microfluidic confinement of single cells of bacteria in small volumes initiates high-density behavior of quorum sensing and growth and reveals its variability. </w:t>
      </w:r>
      <w:r>
        <w:rPr>
          <w:i/>
          <w:iCs/>
        </w:rPr>
        <w:t>Angew Chem Int Ed Engl</w:t>
      </w:r>
      <w:r>
        <w:t xml:space="preserve"> </w:t>
      </w:r>
      <w:r>
        <w:rPr>
          <w:b/>
          <w:bCs/>
        </w:rPr>
        <w:t>48</w:t>
      </w:r>
      <w:r>
        <w:t>, 5908–5911 (2009).</w:t>
      </w:r>
    </w:p>
    <w:p w:rsidR="0092264A" w:rsidRDefault="00000000">
      <w:pPr>
        <w:pStyle w:val="Bibliography"/>
      </w:pPr>
      <w:bookmarkStart w:id="51" w:name="ref-Eldar2011"/>
      <w:bookmarkEnd w:id="50"/>
      <w:r>
        <w:t xml:space="preserve">29. </w:t>
      </w:r>
      <w:r>
        <w:tab/>
        <w:t xml:space="preserve">A. Eldar, Social conflict drives the evolutionary divergence of quorum sensing. </w:t>
      </w:r>
      <w:r>
        <w:rPr>
          <w:i/>
          <w:iCs/>
        </w:rPr>
        <w:t>Proc Natl Acad Sci U S A</w:t>
      </w:r>
      <w:r>
        <w:t xml:space="preserve"> </w:t>
      </w:r>
      <w:r>
        <w:rPr>
          <w:b/>
          <w:bCs/>
        </w:rPr>
        <w:t>108</w:t>
      </w:r>
      <w:r>
        <w:t>, 13635–13640 (2011).</w:t>
      </w:r>
    </w:p>
    <w:p w:rsidR="0092264A" w:rsidRDefault="00000000">
      <w:pPr>
        <w:pStyle w:val="Bibliography"/>
      </w:pPr>
      <w:bookmarkStart w:id="52" w:name="ref-Cornforth2014"/>
      <w:bookmarkEnd w:id="51"/>
      <w:r>
        <w:t xml:space="preserve">30. </w:t>
      </w:r>
      <w:r>
        <w:tab/>
        <w:t xml:space="preserve">D. Cornforth, </w:t>
      </w:r>
      <w:r>
        <w:rPr>
          <w:i/>
          <w:iCs/>
        </w:rPr>
        <w:t>et al.</w:t>
      </w:r>
      <w:r>
        <w:t xml:space="preserve">, Combinatorial quorum sensing allows bacteria to resolve their social and physical environment. </w:t>
      </w:r>
      <w:r>
        <w:rPr>
          <w:i/>
          <w:iCs/>
        </w:rPr>
        <w:t>Proc Natl Acad Sci U S A</w:t>
      </w:r>
      <w:r>
        <w:t xml:space="preserve"> </w:t>
      </w:r>
      <w:r>
        <w:rPr>
          <w:b/>
          <w:bCs/>
        </w:rPr>
        <w:t>111</w:t>
      </w:r>
      <w:r>
        <w:t>, 4280–4284 (2014).</w:t>
      </w:r>
    </w:p>
    <w:p w:rsidR="0092264A" w:rsidRDefault="00000000">
      <w:pPr>
        <w:pStyle w:val="Bibliography"/>
      </w:pPr>
      <w:bookmarkStart w:id="53" w:name="ref-James2000"/>
      <w:bookmarkEnd w:id="52"/>
      <w:r>
        <w:t xml:space="preserve">31. </w:t>
      </w:r>
      <w:r>
        <w:tab/>
        <w:t xml:space="preserve">S. James, P. Nilsson, G. James, S. Kjelleberg, T. Fagerström, Luminescence control in the marine bacterium </w:t>
      </w:r>
      <w:r>
        <w:rPr>
          <w:i/>
          <w:iCs/>
        </w:rPr>
        <w:t>Vibrio fischeri:</w:t>
      </w:r>
      <w:r>
        <w:t xml:space="preserve"> An analysis of the dynamics of lux regulation. </w:t>
      </w:r>
      <w:r>
        <w:rPr>
          <w:i/>
          <w:iCs/>
        </w:rPr>
        <w:t>J Mol Biol</w:t>
      </w:r>
      <w:r>
        <w:t xml:space="preserve"> </w:t>
      </w:r>
      <w:r>
        <w:rPr>
          <w:b/>
          <w:bCs/>
        </w:rPr>
        <w:t>296</w:t>
      </w:r>
      <w:r>
        <w:t>, 1127–1137 (2000).</w:t>
      </w:r>
    </w:p>
    <w:p w:rsidR="0092264A" w:rsidRDefault="00000000">
      <w:pPr>
        <w:pStyle w:val="Bibliography"/>
      </w:pPr>
      <w:bookmarkStart w:id="54" w:name="ref-Dockery2001"/>
      <w:bookmarkEnd w:id="53"/>
      <w:r>
        <w:t xml:space="preserve">32. </w:t>
      </w:r>
      <w:r>
        <w:tab/>
        <w:t xml:space="preserve">J. Dockery, J. Keener, A mathematical model for quorum sensing in </w:t>
      </w:r>
      <w:r>
        <w:rPr>
          <w:i/>
          <w:iCs/>
        </w:rPr>
        <w:t>Pseudomonas aeruginosa</w:t>
      </w:r>
      <w:r>
        <w:t xml:space="preserve">. </w:t>
      </w:r>
      <w:r>
        <w:rPr>
          <w:i/>
          <w:iCs/>
        </w:rPr>
        <w:t>Bull Math Biol</w:t>
      </w:r>
      <w:r>
        <w:t xml:space="preserve"> </w:t>
      </w:r>
      <w:r>
        <w:rPr>
          <w:b/>
          <w:bCs/>
        </w:rPr>
        <w:t>63</w:t>
      </w:r>
      <w:r>
        <w:t>, 95–116 (2001).</w:t>
      </w:r>
    </w:p>
    <w:p w:rsidR="0092264A" w:rsidRDefault="00000000">
      <w:pPr>
        <w:pStyle w:val="Bibliography"/>
      </w:pPr>
      <w:bookmarkStart w:id="55" w:name="ref-Ward2001"/>
      <w:bookmarkEnd w:id="54"/>
      <w:r>
        <w:t xml:space="preserve">33. </w:t>
      </w:r>
      <w:r>
        <w:tab/>
        <w:t xml:space="preserve">J. Ward, </w:t>
      </w:r>
      <w:r>
        <w:rPr>
          <w:i/>
          <w:iCs/>
        </w:rPr>
        <w:t>et al.</w:t>
      </w:r>
      <w:r>
        <w:t xml:space="preserve">, Mathematical modelling of quorum sensing in bacteria. </w:t>
      </w:r>
      <w:r>
        <w:rPr>
          <w:i/>
          <w:iCs/>
        </w:rPr>
        <w:t>IMA J Math Appl Med Biol</w:t>
      </w:r>
      <w:r>
        <w:t xml:space="preserve"> </w:t>
      </w:r>
      <w:r>
        <w:rPr>
          <w:b/>
          <w:bCs/>
        </w:rPr>
        <w:t>18</w:t>
      </w:r>
      <w:r>
        <w:t>, 263–292 (2001).</w:t>
      </w:r>
    </w:p>
    <w:p w:rsidR="0092264A" w:rsidRDefault="00000000">
      <w:pPr>
        <w:pStyle w:val="Bibliography"/>
      </w:pPr>
      <w:bookmarkStart w:id="56" w:name="ref-Brown2013"/>
      <w:bookmarkEnd w:id="55"/>
      <w:r>
        <w:t xml:space="preserve">34. </w:t>
      </w:r>
      <w:r>
        <w:tab/>
        <w:t xml:space="preserve">D. Brown, Linking molecular and population processes in mathematical models of quorum sensing. </w:t>
      </w:r>
      <w:r>
        <w:rPr>
          <w:i/>
          <w:iCs/>
        </w:rPr>
        <w:t>Bull Math Biol</w:t>
      </w:r>
      <w:r>
        <w:t xml:space="preserve"> </w:t>
      </w:r>
      <w:r>
        <w:rPr>
          <w:b/>
          <w:bCs/>
        </w:rPr>
        <w:t>75</w:t>
      </w:r>
      <w:r>
        <w:t>, 1813–1839 (2013).</w:t>
      </w:r>
    </w:p>
    <w:p w:rsidR="0092264A" w:rsidRDefault="00000000">
      <w:pPr>
        <w:pStyle w:val="Bibliography"/>
      </w:pPr>
      <w:bookmarkStart w:id="57" w:name="ref-Rattray2022"/>
      <w:bookmarkEnd w:id="56"/>
      <w:r>
        <w:t xml:space="preserve">35. </w:t>
      </w:r>
      <w:r>
        <w:tab/>
        <w:t xml:space="preserve">J. Rattray, </w:t>
      </w:r>
      <w:r>
        <w:rPr>
          <w:i/>
          <w:iCs/>
        </w:rPr>
        <w:t>et al.</w:t>
      </w:r>
      <w:r>
        <w:t xml:space="preserve">, Bacterial quorum sensing allows graded and bimodal cellular responses to variations in population density. </w:t>
      </w:r>
      <w:r>
        <w:rPr>
          <w:i/>
          <w:iCs/>
        </w:rPr>
        <w:t>mBio</w:t>
      </w:r>
      <w:r>
        <w:t xml:space="preserve"> </w:t>
      </w:r>
      <w:r>
        <w:rPr>
          <w:b/>
          <w:bCs/>
        </w:rPr>
        <w:t>13</w:t>
      </w:r>
      <w:r>
        <w:t>, e0074522 (2022).</w:t>
      </w:r>
    </w:p>
    <w:p w:rsidR="0092264A" w:rsidRDefault="00000000">
      <w:pPr>
        <w:pStyle w:val="Bibliography"/>
      </w:pPr>
      <w:bookmarkStart w:id="58" w:name="ref-Stearns1989"/>
      <w:bookmarkEnd w:id="57"/>
      <w:r>
        <w:t xml:space="preserve">36. </w:t>
      </w:r>
      <w:r>
        <w:tab/>
        <w:t xml:space="preserve">S. Stearns, The evolutionary significance of phenotypic plasticity. </w:t>
      </w:r>
      <w:r>
        <w:rPr>
          <w:i/>
          <w:iCs/>
        </w:rPr>
        <w:t>Bioscience</w:t>
      </w:r>
      <w:r>
        <w:t xml:space="preserve"> (1989).</w:t>
      </w:r>
    </w:p>
    <w:p w:rsidR="0092264A" w:rsidRDefault="00000000">
      <w:pPr>
        <w:pStyle w:val="Bibliography"/>
      </w:pPr>
      <w:bookmarkStart w:id="59" w:name="ref-Mayer2023"/>
      <w:bookmarkEnd w:id="58"/>
      <w:r>
        <w:t xml:space="preserve">37. </w:t>
      </w:r>
      <w:r>
        <w:tab/>
        <w:t xml:space="preserve">C. Mayer, A. Borges, S. Flament-Simon, M. Simões, Quorum sensing architecture network in escherichia coli virulence and pathogenesis. </w:t>
      </w:r>
      <w:r>
        <w:rPr>
          <w:i/>
          <w:iCs/>
        </w:rPr>
        <w:t>FEMS Microbiol Rev</w:t>
      </w:r>
      <w:r>
        <w:t xml:space="preserve"> </w:t>
      </w:r>
      <w:r>
        <w:rPr>
          <w:b/>
          <w:bCs/>
        </w:rPr>
        <w:t>47</w:t>
      </w:r>
      <w:r>
        <w:t>, fuad031 (2023).</w:t>
      </w:r>
    </w:p>
    <w:p w:rsidR="0092264A" w:rsidRDefault="00000000">
      <w:pPr>
        <w:pStyle w:val="Bibliography"/>
      </w:pPr>
      <w:bookmarkStart w:id="60" w:name="ref-Voichek2020"/>
      <w:bookmarkEnd w:id="59"/>
      <w:r>
        <w:t xml:space="preserve">38. </w:t>
      </w:r>
      <w:r>
        <w:tab/>
        <w:t xml:space="preserve">M. Voichek, S. Maaß, T. Kroniger, D. Becher, R. Sorek, Peptide-based quorum sensing systems in paenibacillus polymyxa. </w:t>
      </w:r>
      <w:r>
        <w:rPr>
          <w:i/>
          <w:iCs/>
        </w:rPr>
        <w:t>Life Sci Alliance</w:t>
      </w:r>
      <w:r>
        <w:t xml:space="preserve"> </w:t>
      </w:r>
      <w:r>
        <w:rPr>
          <w:b/>
          <w:bCs/>
        </w:rPr>
        <w:t>3</w:t>
      </w:r>
      <w:r>
        <w:t>, e202000847 (2020).</w:t>
      </w:r>
    </w:p>
    <w:p w:rsidR="0092264A" w:rsidRDefault="00000000">
      <w:pPr>
        <w:pStyle w:val="Bibliography"/>
      </w:pPr>
      <w:bookmarkStart w:id="61" w:name="ref-Henke2004"/>
      <w:bookmarkEnd w:id="60"/>
      <w:r>
        <w:t xml:space="preserve">39. </w:t>
      </w:r>
      <w:r>
        <w:tab/>
        <w:t xml:space="preserve">J. Henke, B. Bassler, Three parallel quorum-sensing systems regulate gene expression in vibrio harveyi. </w:t>
      </w:r>
      <w:r>
        <w:rPr>
          <w:i/>
          <w:iCs/>
        </w:rPr>
        <w:t>J Bacteriol</w:t>
      </w:r>
      <w:r>
        <w:t xml:space="preserve"> </w:t>
      </w:r>
      <w:r>
        <w:rPr>
          <w:b/>
          <w:bCs/>
        </w:rPr>
        <w:t>186</w:t>
      </w:r>
      <w:r>
        <w:t>, 6902–6914 (2004).</w:t>
      </w:r>
    </w:p>
    <w:p w:rsidR="0092264A" w:rsidRDefault="00000000">
      <w:pPr>
        <w:pStyle w:val="Bibliography"/>
      </w:pPr>
      <w:bookmarkStart w:id="62" w:name="ref-Bridges2019"/>
      <w:bookmarkEnd w:id="61"/>
      <w:r>
        <w:t xml:space="preserve">40. </w:t>
      </w:r>
      <w:r>
        <w:tab/>
        <w:t xml:space="preserve">A. Bridges, B. Bassler, The intragenus and interspecies quorum-sensing autoinducers exert distinct control over vibrio cholerae biofilm formation and dispersal. </w:t>
      </w:r>
      <w:r>
        <w:rPr>
          <w:i/>
          <w:iCs/>
        </w:rPr>
        <w:t>PLoS Biol</w:t>
      </w:r>
      <w:r>
        <w:t xml:space="preserve"> </w:t>
      </w:r>
      <w:r>
        <w:rPr>
          <w:b/>
          <w:bCs/>
        </w:rPr>
        <w:t>17</w:t>
      </w:r>
      <w:r>
        <w:t>, e3000429 (2019).</w:t>
      </w:r>
    </w:p>
    <w:p w:rsidR="0092264A" w:rsidRDefault="00000000">
      <w:pPr>
        <w:pStyle w:val="Bibliography"/>
      </w:pPr>
      <w:bookmarkStart w:id="63" w:name="ref-Mok2003"/>
      <w:bookmarkEnd w:id="62"/>
      <w:r>
        <w:t xml:space="preserve">41. </w:t>
      </w:r>
      <w:r>
        <w:tab/>
        <w:t xml:space="preserve">K. Mok, N. Wingreen, B. Bassler, Vibrio harveyi quorum sensing: A coincidence detector for two autoinducers controls gene expression. </w:t>
      </w:r>
      <w:r>
        <w:rPr>
          <w:i/>
          <w:iCs/>
        </w:rPr>
        <w:t>EMBO J</w:t>
      </w:r>
      <w:r>
        <w:t xml:space="preserve"> </w:t>
      </w:r>
      <w:r>
        <w:rPr>
          <w:b/>
          <w:bCs/>
        </w:rPr>
        <w:t>22</w:t>
      </w:r>
      <w:r>
        <w:t>, 870–881 (2003).</w:t>
      </w:r>
    </w:p>
    <w:p w:rsidR="0092264A" w:rsidRDefault="00000000">
      <w:pPr>
        <w:pStyle w:val="Bibliography"/>
      </w:pPr>
      <w:bookmarkStart w:id="64" w:name="ref-Long2009"/>
      <w:bookmarkEnd w:id="63"/>
      <w:r>
        <w:t xml:space="preserve">42. </w:t>
      </w:r>
      <w:r>
        <w:tab/>
        <w:t xml:space="preserve">T. Long, </w:t>
      </w:r>
      <w:r>
        <w:rPr>
          <w:i/>
          <w:iCs/>
        </w:rPr>
        <w:t>et al.</w:t>
      </w:r>
      <w:r>
        <w:t xml:space="preserve">, Quantifying the integration of quorum-sensing signals with single-cell resolution. </w:t>
      </w:r>
      <w:r>
        <w:rPr>
          <w:i/>
          <w:iCs/>
        </w:rPr>
        <w:t>PLoS Biol</w:t>
      </w:r>
      <w:r>
        <w:t xml:space="preserve"> </w:t>
      </w:r>
      <w:r>
        <w:rPr>
          <w:b/>
          <w:bCs/>
        </w:rPr>
        <w:t>7</w:t>
      </w:r>
      <w:r>
        <w:t>, e68 (2009).</w:t>
      </w:r>
    </w:p>
    <w:p w:rsidR="0092264A" w:rsidRDefault="00000000">
      <w:pPr>
        <w:pStyle w:val="Bibliography"/>
      </w:pPr>
      <w:bookmarkStart w:id="65" w:name="ref-Sauer1995"/>
      <w:bookmarkEnd w:id="64"/>
      <w:r>
        <w:t xml:space="preserve">43. </w:t>
      </w:r>
      <w:r>
        <w:tab/>
        <w:t xml:space="preserve">F. Sauer, S. Hansen, R. Tjian, Multiple TAFIIs directing synergistic activation of transcription. </w:t>
      </w:r>
      <w:r>
        <w:rPr>
          <w:i/>
          <w:iCs/>
        </w:rPr>
        <w:t>Science</w:t>
      </w:r>
      <w:r>
        <w:t xml:space="preserve"> </w:t>
      </w:r>
      <w:r>
        <w:rPr>
          <w:b/>
          <w:bCs/>
        </w:rPr>
        <w:t>270</w:t>
      </w:r>
      <w:r>
        <w:t>, 1783–1788 (1995).</w:t>
      </w:r>
    </w:p>
    <w:p w:rsidR="0092264A" w:rsidRDefault="00000000">
      <w:pPr>
        <w:pStyle w:val="Bibliography"/>
      </w:pPr>
      <w:bookmarkStart w:id="66" w:name="ref-McGrath2004"/>
      <w:bookmarkEnd w:id="65"/>
      <w:r>
        <w:lastRenderedPageBreak/>
        <w:t xml:space="preserve">44. </w:t>
      </w:r>
      <w:r>
        <w:tab/>
        <w:t xml:space="preserve">S. McGrath, D. Wade, E. Pesci, Dueling quorum sensing systems in </w:t>
      </w:r>
      <w:r>
        <w:rPr>
          <w:i/>
          <w:iCs/>
        </w:rPr>
        <w:t>Pseudomonas aeruginosa</w:t>
      </w:r>
      <w:r>
        <w:t xml:space="preserve"> control the production of the pseudomonas quinolone signal (PQS). </w:t>
      </w:r>
      <w:r>
        <w:rPr>
          <w:i/>
          <w:iCs/>
        </w:rPr>
        <w:t>FEMS Microbiol Lett</w:t>
      </w:r>
      <w:r>
        <w:t xml:space="preserve"> </w:t>
      </w:r>
      <w:r>
        <w:rPr>
          <w:b/>
          <w:bCs/>
        </w:rPr>
        <w:t>230</w:t>
      </w:r>
      <w:r>
        <w:t>, 27–34 (2004).</w:t>
      </w:r>
    </w:p>
    <w:p w:rsidR="0092264A" w:rsidRDefault="00000000">
      <w:pPr>
        <w:pStyle w:val="Bibliography"/>
      </w:pPr>
      <w:bookmarkStart w:id="67" w:name="ref-Ratkowsky1983"/>
      <w:bookmarkEnd w:id="66"/>
      <w:r>
        <w:t xml:space="preserve">45. </w:t>
      </w:r>
      <w:r>
        <w:tab/>
        <w:t xml:space="preserve">D. A. Ratkowsky, </w:t>
      </w:r>
      <w:r>
        <w:rPr>
          <w:i/>
          <w:iCs/>
        </w:rPr>
        <w:t>Nonlinear regression modeling: A unified practical approach</w:t>
      </w:r>
      <w:r>
        <w:t xml:space="preserve"> (Marcel Dekker Incorporated, 1983).</w:t>
      </w:r>
    </w:p>
    <w:p w:rsidR="0092264A" w:rsidRDefault="00000000">
      <w:pPr>
        <w:pStyle w:val="Bibliography"/>
      </w:pPr>
      <w:bookmarkStart w:id="68" w:name="ref-Powell1968"/>
      <w:bookmarkEnd w:id="67"/>
      <w:r>
        <w:t xml:space="preserve">46. </w:t>
      </w:r>
      <w:r>
        <w:tab/>
        <w:t>M. J. Powell, A fortran subroutine for solving systems of nonlinear algebraic equations. (1968).</w:t>
      </w:r>
      <w:bookmarkEnd w:id="0"/>
      <w:bookmarkEnd w:id="21"/>
      <w:bookmarkEnd w:id="23"/>
      <w:bookmarkEnd w:id="68"/>
    </w:p>
    <w:sectPr w:rsidR="0092264A">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84BED3A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8F5E92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435372420">
    <w:abstractNumId w:val="0"/>
  </w:num>
  <w:num w:numId="3" w16cid:durableId="169091015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33DEA"/>
    <w:rsid w:val="00144B3A"/>
    <w:rsid w:val="004C79A0"/>
    <w:rsid w:val="007D0AF9"/>
    <w:rsid w:val="0092264A"/>
    <w:rsid w:val="00C746F5"/>
    <w:rsid w:val="00D220FA"/>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1A40B"/>
  <w15:docId w15:val="{346108AB-0651-9C41-86C7-E9E4461A9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44B3A"/>
    <w:pPr>
      <w:spacing w:before="240" w:after="120"/>
    </w:pPr>
    <w:rPr>
      <w:i/>
    </w:r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44B3A"/>
    <w:rPr>
      <w:rFonts w:ascii="Times New Roman" w:hAnsi="Times New Roman"/>
      <w:i/>
    </w:rPr>
  </w:style>
  <w:style w:type="character" w:customStyle="1" w:styleId="VerbatimChar">
    <w:name w:val="Verbatim Char"/>
    <w:basedOn w:val="CaptionChar"/>
    <w:link w:val="SourceCode"/>
    <w:rsid w:val="007D0AF9"/>
    <w:rPr>
      <w:rFonts w:ascii="Courier New" w:hAnsi="Courier New"/>
      <w:i/>
      <w:sz w:val="22"/>
    </w:rPr>
  </w:style>
  <w:style w:type="character" w:customStyle="1" w:styleId="SectionNumber">
    <w:name w:val="Section Number"/>
    <w:basedOn w:val="CaptionChar"/>
    <w:rPr>
      <w:rFonts w:ascii="Times New Roman" w:hAnsi="Times New Roman"/>
      <w:i/>
    </w:rPr>
  </w:style>
  <w:style w:type="character" w:styleId="FootnoteReference">
    <w:name w:val="footnote reference"/>
    <w:basedOn w:val="CaptionChar"/>
    <w:rPr>
      <w:rFonts w:ascii="Times New Roman" w:hAnsi="Times New Roman"/>
      <w:i/>
      <w:vertAlign w:val="superscript"/>
    </w:rPr>
  </w:style>
  <w:style w:type="character" w:styleId="Hyperlink">
    <w:name w:val="Hyperlink"/>
    <w:basedOn w:val="CaptionChar"/>
    <w:rsid w:val="007D0AF9"/>
    <w:rPr>
      <w:rFonts w:ascii="Times New Roman" w:hAnsi="Times New Roman"/>
      <w:i/>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color w:val="007020"/>
      <w:sz w:val="22"/>
    </w:rPr>
  </w:style>
  <w:style w:type="character" w:customStyle="1" w:styleId="DataTypeTok">
    <w:name w:val="DataTypeTok"/>
    <w:basedOn w:val="VerbatimChar"/>
    <w:rPr>
      <w:rFonts w:ascii="Courier New" w:hAnsi="Courier New"/>
      <w:i/>
      <w:color w:val="902000"/>
      <w:sz w:val="22"/>
    </w:rPr>
  </w:style>
  <w:style w:type="character" w:customStyle="1" w:styleId="DecValTok">
    <w:name w:val="DecValTok"/>
    <w:basedOn w:val="VerbatimChar"/>
    <w:rPr>
      <w:rFonts w:ascii="Courier New" w:hAnsi="Courier New"/>
      <w:i/>
      <w:color w:val="40A070"/>
      <w:sz w:val="22"/>
    </w:rPr>
  </w:style>
  <w:style w:type="character" w:customStyle="1" w:styleId="BaseNTok">
    <w:name w:val="BaseNTok"/>
    <w:basedOn w:val="VerbatimChar"/>
    <w:rPr>
      <w:rFonts w:ascii="Courier New" w:hAnsi="Courier New"/>
      <w:i/>
      <w:color w:val="40A070"/>
      <w:sz w:val="22"/>
    </w:rPr>
  </w:style>
  <w:style w:type="character" w:customStyle="1" w:styleId="FloatTok">
    <w:name w:val="FloatTok"/>
    <w:basedOn w:val="VerbatimChar"/>
    <w:rPr>
      <w:rFonts w:ascii="Courier New" w:hAnsi="Courier New"/>
      <w:i/>
      <w:color w:val="40A070"/>
      <w:sz w:val="22"/>
    </w:rPr>
  </w:style>
  <w:style w:type="character" w:customStyle="1" w:styleId="ConstantTok">
    <w:name w:val="ConstantTok"/>
    <w:basedOn w:val="VerbatimChar"/>
    <w:rPr>
      <w:rFonts w:ascii="Courier New" w:hAnsi="Courier New"/>
      <w:i/>
      <w:color w:val="880000"/>
      <w:sz w:val="22"/>
    </w:rPr>
  </w:style>
  <w:style w:type="character" w:customStyle="1" w:styleId="CharTok">
    <w:name w:val="CharTok"/>
    <w:basedOn w:val="VerbatimChar"/>
    <w:rPr>
      <w:rFonts w:ascii="Courier New" w:hAnsi="Courier New"/>
      <w:i/>
      <w:color w:val="4070A0"/>
      <w:sz w:val="22"/>
    </w:rPr>
  </w:style>
  <w:style w:type="character" w:customStyle="1" w:styleId="SpecialCharTok">
    <w:name w:val="SpecialCharTok"/>
    <w:basedOn w:val="VerbatimChar"/>
    <w:rPr>
      <w:rFonts w:ascii="Courier New" w:hAnsi="Courier New"/>
      <w:i/>
      <w:color w:val="4070A0"/>
      <w:sz w:val="22"/>
    </w:rPr>
  </w:style>
  <w:style w:type="character" w:customStyle="1" w:styleId="StringTok">
    <w:name w:val="StringTok"/>
    <w:basedOn w:val="VerbatimChar"/>
    <w:rPr>
      <w:rFonts w:ascii="Courier New" w:hAnsi="Courier New"/>
      <w:i/>
      <w:color w:val="4070A0"/>
      <w:sz w:val="22"/>
    </w:rPr>
  </w:style>
  <w:style w:type="character" w:customStyle="1" w:styleId="VerbatimStringTok">
    <w:name w:val="VerbatimStringTok"/>
    <w:basedOn w:val="VerbatimChar"/>
    <w:rPr>
      <w:rFonts w:ascii="Courier New" w:hAnsi="Courier New"/>
      <w:i/>
      <w:color w:val="4070A0"/>
      <w:sz w:val="22"/>
    </w:rPr>
  </w:style>
  <w:style w:type="character" w:customStyle="1" w:styleId="SpecialStringTok">
    <w:name w:val="SpecialStringTok"/>
    <w:basedOn w:val="VerbatimChar"/>
    <w:rPr>
      <w:rFonts w:ascii="Courier New" w:hAnsi="Courier New"/>
      <w:i/>
      <w:color w:val="BB6688"/>
      <w:sz w:val="22"/>
    </w:rPr>
  </w:style>
  <w:style w:type="character" w:customStyle="1" w:styleId="ImportTok">
    <w:name w:val="ImportTok"/>
    <w:basedOn w:val="VerbatimChar"/>
    <w:rPr>
      <w:rFonts w:ascii="Courier New" w:hAnsi="Courier New"/>
      <w:b/>
      <w:i/>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color w:val="007020"/>
      <w:sz w:val="22"/>
    </w:rPr>
  </w:style>
  <w:style w:type="character" w:customStyle="1" w:styleId="FunctionTok">
    <w:name w:val="FunctionTok"/>
    <w:basedOn w:val="VerbatimChar"/>
    <w:rPr>
      <w:rFonts w:ascii="Courier New" w:hAnsi="Courier New"/>
      <w:i/>
      <w:color w:val="06287E"/>
      <w:sz w:val="22"/>
    </w:rPr>
  </w:style>
  <w:style w:type="character" w:customStyle="1" w:styleId="VariableTok">
    <w:name w:val="VariableTok"/>
    <w:basedOn w:val="VerbatimChar"/>
    <w:rPr>
      <w:rFonts w:ascii="Courier New" w:hAnsi="Courier New"/>
      <w:i/>
      <w:color w:val="19177C"/>
      <w:sz w:val="22"/>
    </w:rPr>
  </w:style>
  <w:style w:type="character" w:customStyle="1" w:styleId="ControlFlowTok">
    <w:name w:val="ControlFlowTok"/>
    <w:basedOn w:val="VerbatimChar"/>
    <w:rPr>
      <w:rFonts w:ascii="Courier New" w:hAnsi="Courier New"/>
      <w:b/>
      <w:i/>
      <w:color w:val="007020"/>
      <w:sz w:val="22"/>
    </w:rPr>
  </w:style>
  <w:style w:type="character" w:customStyle="1" w:styleId="OperatorTok">
    <w:name w:val="OperatorTok"/>
    <w:basedOn w:val="VerbatimChar"/>
    <w:rPr>
      <w:rFonts w:ascii="Courier New" w:hAnsi="Courier New"/>
      <w:i/>
      <w:color w:val="666666"/>
      <w:sz w:val="22"/>
    </w:rPr>
  </w:style>
  <w:style w:type="character" w:customStyle="1" w:styleId="BuiltInTok">
    <w:name w:val="BuiltInTok"/>
    <w:basedOn w:val="VerbatimChar"/>
    <w:rPr>
      <w:rFonts w:ascii="Courier New" w:hAnsi="Courier New"/>
      <w:i/>
      <w:color w:val="008000"/>
      <w:sz w:val="22"/>
    </w:rPr>
  </w:style>
  <w:style w:type="character" w:customStyle="1" w:styleId="ExtensionTok">
    <w:name w:val="ExtensionTok"/>
    <w:basedOn w:val="VerbatimChar"/>
    <w:rPr>
      <w:rFonts w:ascii="Courier New" w:hAnsi="Courier New"/>
      <w:i/>
      <w:sz w:val="22"/>
    </w:rPr>
  </w:style>
  <w:style w:type="character" w:customStyle="1" w:styleId="PreprocessorTok">
    <w:name w:val="PreprocessorTok"/>
    <w:basedOn w:val="VerbatimChar"/>
    <w:rPr>
      <w:rFonts w:ascii="Courier New" w:hAnsi="Courier New"/>
      <w:i/>
      <w:color w:val="BC7A00"/>
      <w:sz w:val="22"/>
    </w:rPr>
  </w:style>
  <w:style w:type="character" w:customStyle="1" w:styleId="AttributeTok">
    <w:name w:val="AttributeTok"/>
    <w:basedOn w:val="VerbatimChar"/>
    <w:rPr>
      <w:rFonts w:ascii="Courier New" w:hAnsi="Courier New"/>
      <w:i/>
      <w:color w:val="7D9029"/>
      <w:sz w:val="22"/>
    </w:rPr>
  </w:style>
  <w:style w:type="character" w:customStyle="1" w:styleId="RegionMarkerTok">
    <w:name w:val="RegionMarkerTok"/>
    <w:basedOn w:val="VerbatimChar"/>
    <w:rPr>
      <w:rFonts w:ascii="Courier New" w:hAnsi="Courier New"/>
      <w:i/>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color w:val="FF0000"/>
      <w:sz w:val="22"/>
    </w:rPr>
  </w:style>
  <w:style w:type="character" w:customStyle="1" w:styleId="ErrorTok">
    <w:name w:val="ErrorTok"/>
    <w:basedOn w:val="VerbatimChar"/>
    <w:rPr>
      <w:rFonts w:ascii="Courier New" w:hAnsi="Courier New"/>
      <w:b/>
      <w:i/>
      <w:color w:val="FF0000"/>
      <w:sz w:val="22"/>
    </w:rPr>
  </w:style>
  <w:style w:type="character" w:customStyle="1" w:styleId="NormalTok">
    <w:name w:val="NormalTok"/>
    <w:basedOn w:val="VerbatimChar"/>
    <w:rPr>
      <w:rFonts w:ascii="Courier New" w:hAnsi="Courier New"/>
      <w: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image" Target="media/image14.sv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pubmed.ncbi.nlm.nih.gov/?term=%28%22review%22%5BTitle%2FAbstract%5D+OR+%22review%22%5BPublication+Type%5D%29+AND+%22quorum+sensing%22%5BTitle%5D+AND+%22pseudomonas+aeruginosa%22%5BTitle%2FAbstract%5D&amp;sort=" TargetMode="External"/><Relationship Id="rId10" Type="http://schemas.openxmlformats.org/officeDocument/2006/relationships/image" Target="media/image6.sv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20</Pages>
  <Words>7068</Words>
  <Characters>40292</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47266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2</cp:revision>
  <dcterms:created xsi:type="dcterms:W3CDTF">2024-11-03T19:57:00Z</dcterms:created>
  <dcterms:modified xsi:type="dcterms:W3CDTF">2024-11-03T20:01:00Z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pnas.csl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DisplayTemplate">
    <vt:lpwstr>e</vt:lpwstr>
  </property>
  <property fmtid="{D5CDD505-2E9C-101B-9397-08002B2CF9AE}" pid="19" name="eqnIndexTemplate">
    <vt:lpwstr>(i)</vt:lpwstr>
  </property>
  <property fmtid="{D5CDD505-2E9C-101B-9397-08002B2CF9AE}" pid="20" name="eqnInlineTableTemplate">
    <vt:lpwstr>e</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lastDelim">
    <vt:lpwstr>, </vt:lpwstr>
  </property>
  <property fmtid="{D5CDD505-2E9C-101B-9397-08002B2CF9AE}" pid="31" name="linkReferences">
    <vt:lpwstr>False</vt:lpwstr>
  </property>
  <property fmtid="{D5CDD505-2E9C-101B-9397-08002B2CF9AE}" pid="32" name="listItemTitleDelim">
    <vt:lpwstr>.</vt:lpwstr>
  </property>
  <property fmtid="{D5CDD505-2E9C-101B-9397-08002B2CF9AE}" pid="33" name="listingTemplate">
    <vt:lpwstr>listingTitle ititleDelim t</vt:lpwstr>
  </property>
  <property fmtid="{D5CDD505-2E9C-101B-9397-08002B2CF9AE}" pid="34" name="listingTitle">
    <vt:lpwstr>Listing</vt:lpwstr>
  </property>
  <property fmtid="{D5CDD505-2E9C-101B-9397-08002B2CF9AE}" pid="35" name="listings">
    <vt:lpwstr>False</vt:lpwstr>
  </property>
  <property fmtid="{D5CDD505-2E9C-101B-9397-08002B2CF9AE}" pid="36" name="lofItemTemplate">
    <vt:lpwstr>lofItemTitleilistItemTitleDelimt </vt:lpwstr>
  </property>
  <property fmtid="{D5CDD505-2E9C-101B-9397-08002B2CF9AE}" pid="37" name="lofItemTitle">
    <vt:lpwstr/>
  </property>
  <property fmtid="{D5CDD505-2E9C-101B-9397-08002B2CF9AE}" pid="38" name="lofTitle">
    <vt:lpwstr>List of Figures</vt:lpwstr>
  </property>
  <property fmtid="{D5CDD505-2E9C-101B-9397-08002B2CF9AE}" pid="39" name="lolItemTemplate">
    <vt:lpwstr>lolItemTitleilistItemTitleDelimt </vt:lpwstr>
  </property>
  <property fmtid="{D5CDD505-2E9C-101B-9397-08002B2CF9AE}" pid="40" name="lolItemTitle">
    <vt:lpwstr/>
  </property>
  <property fmtid="{D5CDD505-2E9C-101B-9397-08002B2CF9AE}" pid="41" name="lolTitle">
    <vt:lpwstr>List of Listings</vt:lpwstr>
  </property>
  <property fmtid="{D5CDD505-2E9C-101B-9397-08002B2CF9AE}" pid="42" name="lotItemTemplate">
    <vt:lpwstr>lotItemTitleilistItemTitleDelimt </vt:lpwstr>
  </property>
  <property fmtid="{D5CDD505-2E9C-101B-9397-08002B2CF9AE}" pid="43" name="lotItemTitle">
    <vt:lpwstr/>
  </property>
  <property fmtid="{D5CDD505-2E9C-101B-9397-08002B2CF9AE}" pid="44" name="lotTitle">
    <vt:lpwstr>List of Tables</vt:lpwstr>
  </property>
  <property fmtid="{D5CDD505-2E9C-101B-9397-08002B2CF9AE}" pid="45" name="lstLabels">
    <vt:lpwstr>arabic</vt:lpwstr>
  </property>
  <property fmtid="{D5CDD505-2E9C-101B-9397-08002B2CF9AE}" pid="46" name="lstPrefix">
    <vt:lpwstr/>
  </property>
  <property fmtid="{D5CDD505-2E9C-101B-9397-08002B2CF9AE}" pid="47" name="lstPrefixTemplate">
    <vt:lpwstr>p i</vt:lpwstr>
  </property>
  <property fmtid="{D5CDD505-2E9C-101B-9397-08002B2CF9AE}" pid="48" name="nameInLink">
    <vt:lpwstr>False</vt:lpwstr>
  </property>
  <property fmtid="{D5CDD505-2E9C-101B-9397-08002B2CF9AE}" pid="49" name="numberSections">
    <vt:lpwstr>False</vt:lpwstr>
  </property>
  <property fmtid="{D5CDD505-2E9C-101B-9397-08002B2CF9AE}" pid="50" name="pairDelim">
    <vt:lpwstr>, </vt:lpwstr>
  </property>
  <property fmtid="{D5CDD505-2E9C-101B-9397-08002B2CF9AE}" pid="51" name="rangeDelim">
    <vt:lpwstr>-</vt:lpwstr>
  </property>
  <property fmtid="{D5CDD505-2E9C-101B-9397-08002B2CF9AE}" pid="52" name="refDelim">
    <vt:lpwstr>, </vt:lpwstr>
  </property>
  <property fmtid="{D5CDD505-2E9C-101B-9397-08002B2CF9AE}" pid="53" name="refIndexTemplate">
    <vt:lpwstr>isuf</vt:lpwstr>
  </property>
  <property fmtid="{D5CDD505-2E9C-101B-9397-08002B2CF9AE}" pid="54" name="secHeaderDelim">
    <vt:lpwstr> </vt:lpwstr>
  </property>
  <property fmtid="{D5CDD505-2E9C-101B-9397-08002B2CF9AE}" pid="55" name="secHeaderTemplate">
    <vt:lpwstr>isecHeaderDelim[n]t</vt:lpwstr>
  </property>
  <property fmtid="{D5CDD505-2E9C-101B-9397-08002B2CF9AE}" pid="56" name="secLabels">
    <vt:lpwstr>arabic</vt:lpwstr>
  </property>
  <property fmtid="{D5CDD505-2E9C-101B-9397-08002B2CF9AE}" pid="57" name="secPrefix">
    <vt:lpwstr/>
  </property>
  <property fmtid="{D5CDD505-2E9C-101B-9397-08002B2CF9AE}" pid="58" name="secPrefixTemplate">
    <vt:lpwstr>p i</vt:lpwstr>
  </property>
  <property fmtid="{D5CDD505-2E9C-101B-9397-08002B2CF9AE}" pid="59" name="sectionsDepth">
    <vt:lpwstr>0</vt:lpwstr>
  </property>
  <property fmtid="{D5CDD505-2E9C-101B-9397-08002B2CF9AE}" pid="60" name="subfigGrid">
    <vt:lpwstr>False</vt:lpwstr>
  </property>
  <property fmtid="{D5CDD505-2E9C-101B-9397-08002B2CF9AE}" pid="61" name="subfigLabels">
    <vt:lpwstr>alpha a</vt:lpwstr>
  </property>
  <property fmtid="{D5CDD505-2E9C-101B-9397-08002B2CF9AE}" pid="62" name="subfigureChildTemplate">
    <vt:lpwstr>i</vt:lpwstr>
  </property>
  <property fmtid="{D5CDD505-2E9C-101B-9397-08002B2CF9AE}" pid="63" name="subfigureRefIndexTemplate">
    <vt:lpwstr>isuf (s)</vt:lpwstr>
  </property>
  <property fmtid="{D5CDD505-2E9C-101B-9397-08002B2CF9AE}" pid="64" name="subfigureTemplate">
    <vt:lpwstr>figureTitle ititleDelim t. ccs</vt:lpwstr>
  </property>
  <property fmtid="{D5CDD505-2E9C-101B-9397-08002B2CF9AE}" pid="65" name="tableEqns">
    <vt:lpwstr>False</vt:lpwstr>
  </property>
  <property fmtid="{D5CDD505-2E9C-101B-9397-08002B2CF9AE}" pid="66" name="tableTemplate">
    <vt:lpwstr>tableTitle ititleDelim t</vt:lpwstr>
  </property>
  <property fmtid="{D5CDD505-2E9C-101B-9397-08002B2CF9AE}" pid="67" name="tableTitle">
    <vt:lpwstr>Table</vt:lpwstr>
  </property>
  <property fmtid="{D5CDD505-2E9C-101B-9397-08002B2CF9AE}" pid="68" name="tblLabels">
    <vt:lpwstr>arabic</vt:lpwstr>
  </property>
  <property fmtid="{D5CDD505-2E9C-101B-9397-08002B2CF9AE}" pid="69" name="tblPrefix">
    <vt:lpwstr/>
  </property>
  <property fmtid="{D5CDD505-2E9C-101B-9397-08002B2CF9AE}" pid="70" name="tblPrefixTemplate">
    <vt:lpwstr>p i</vt:lpwstr>
  </property>
  <property fmtid="{D5CDD505-2E9C-101B-9397-08002B2CF9AE}" pid="71" name="titleDelim">
    <vt:lpwstr>:</vt:lpwstr>
  </property>
</Properties>
</file>